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00"/>
        <w:gridCol w:w="7266"/>
      </w:tblGrid>
      <w:tr>
        <w:tc>
          <w:tcPr>
            <w:tcW w:type="dxa" w:w="3200"/>
            <w:tcBorders>
              <w:top w:val="none" w:color="FFFFFF" w:sz="0"/>
              <w:left w:val="none" w:color="FFFFFF" w:sz="0"/>
              <w:bottom w:val="none" w:color="FFFFFF" w:sz="0"/>
              <w:right w:val="none" w:color="FFFFFF" w:sz="0"/>
            </w:tcBorders>
            <w:tcMar>
              <w:top w:type="dxa" w:w="20"/>
              <w:left w:type="dxa" w:w="0"/>
              <w:bottom w:type="dxa" w:w="20"/>
              <w:right w:type="dxa" w:w="0"/>
            </w:tcMar>
            <w:vAlign w:val="center"/>
          </w:tcPr>
          <w:p>
            <w:pPr>
              <w:spacing w:line="240" w:lineRule="auto"/>
            </w:pPr>
            <w:r>
              <w:drawing>
                <wp:inline distT="0" distB="0" distL="0" distR="0">
                  <wp:extent cx="1866900"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66900" cy="371475"/>
                          </a:xfrm>
                          <a:prstGeom prst="rect">
                            <a:avLst/>
                          </a:prstGeom>
                        </pic:spPr>
                      </pic:pic>
                    </a:graphicData>
                  </a:graphic>
                </wp:inline>
              </w:drawing>
            </w:r>
          </w:p>
        </w:tc>
        <w:tc>
          <w:tcPr>
            <w:tcW w:type="dxa" w:w="7266"/>
            <w:tcBorders>
              <w:top w:val="none" w:color="FFFFFF" w:sz="0"/>
              <w:left w:val="none" w:color="FFFFFF" w:sz="0"/>
              <w:bottom w:val="none" w:color="FFFFFF" w:sz="0"/>
              <w:right w:val="none" w:color="FFFFFF" w:sz="0"/>
            </w:tcBorders>
            <w:tcMar>
              <w:top w:type="dxa" w:w="20"/>
              <w:left w:type="dxa" w:w="0"/>
              <w:bottom w:type="dxa" w:w="20"/>
              <w:right w:type="dxa" w:w="0"/>
            </w:tcMar>
            <w:vAlign w:val="center"/>
          </w:tcPr>
          <w:p>
            <w:pPr>
              <w:spacing w:after="0" w:before="0" w:line="240" w:lineRule="auto"/>
              <w:jc w:val="right"/>
            </w:pPr>
            <w:r>
              <w:rPr>
                <w:rFonts w:ascii="Calibri" w:cs="Calibri" w:eastAsia="Calibri" w:hAnsi="Calibri"/>
                <w:b/>
                <w:bCs/>
                <w:i w:val="false"/>
                <w:iCs w:val="false"/>
                <w:color w:val="12355B"/>
                <w:sz w:val="34"/>
                <w:szCs w:val="34"/>
              </w:rPr>
              <w:t xml:space="preserve">MH Capital Growth AMC</w:t>
            </w:r>
          </w:p>
          <w:p>
            <w:pPr>
              <w:spacing w:after="0" w:before="20" w:line="240" w:lineRule="auto"/>
              <w:jc w:val="right"/>
            </w:pPr>
            <w:r>
              <w:rPr>
                <w:rFonts w:ascii="Calibri" w:cs="Calibri" w:eastAsia="Calibri" w:hAnsi="Calibri"/>
                <w:b w:val="false"/>
                <w:bCs w:val="false"/>
                <w:i w:val="false"/>
                <w:iCs w:val="false"/>
                <w:color w:val="6C7883"/>
                <w:sz w:val="16"/>
                <w:szCs w:val="16"/>
              </w:rPr>
              <w:t xml:space="preserve">Minimum Disclosure Document  </w:t>
            </w:r>
            <w:r>
              <w:rPr>
                <w:rFonts w:ascii="Calibri" w:cs="Calibri" w:eastAsia="Calibri" w:hAnsi="Calibri"/>
                <w:b/>
                <w:bCs/>
                <w:i w:val="false"/>
                <w:iCs w:val="false"/>
                <w:color w:val="0089B0"/>
                <w:sz w:val="16"/>
                <w:szCs w:val="16"/>
              </w:rPr>
              <w:t xml:space="preserve">•  Data as at 31 August 2026</w:t>
            </w:r>
          </w:p>
        </w:tc>
      </w:tr>
    </w:tbl>
    <w:p>
      <w:pPr>
        <w:pBdr>
          <w:bottom w:val="single" w:color="12355B" w:sz="18"/>
        </w:pBdr>
        <w:spacing w:after="0" w:before="40" w:line="240" w:lineRule="auto"/>
      </w:pPr>
    </w:p>
    <w:p>
      <w:pPr>
        <w:spacing w:after="0" w:before="0" w:line="150" w:lineRule="exact"/>
      </w:pP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60"/>
        <w:gridCol w:w="6706"/>
      </w:tblGrid>
      <w:tr>
        <w:tc>
          <w:tcPr>
            <w:tcW w:type="dxa" w:w="3760"/>
            <w:tcBorders>
              <w:top w:val="none" w:color="FFFFFF" w:sz="0"/>
              <w:left w:val="none" w:color="FFFFFF" w:sz="0"/>
              <w:bottom w:val="none" w:color="FFFFFF" w:sz="0"/>
              <w:right w:val="none" w:color="FFFFFF" w:sz="0"/>
            </w:tcBorders>
            <w:tcMar>
              <w:top w:type="dxa" w:w="0"/>
              <w:left w:type="dxa" w:w="0"/>
              <w:bottom w:type="dxa" w:w="0"/>
              <w:right w:type="dxa" w:w="220"/>
            </w:tcMar>
          </w:tcPr>
          <w:p>
            <w:pPr>
              <w:shd w:fill="0089B0" w:color="auto" w:val="clear"/>
              <w:spacing w:after="0" w:before="0" w:line="250" w:lineRule="auto"/>
            </w:pPr>
            <w:r>
              <w:rPr>
                <w:rFonts w:ascii="Calibri" w:cs="Calibri" w:eastAsia="Calibri" w:hAnsi="Calibri"/>
                <w:b/>
                <w:bCs/>
                <w:color w:val="FFFFFF"/>
                <w:spacing w:val="6"/>
                <w:sz w:val="18"/>
                <w:szCs w:val="18"/>
              </w:rPr>
              <w:t xml:space="preserve"> KEY FACTS</w:t>
            </w:r>
          </w:p>
          <w:p>
            <w:pPr>
              <w:spacing w:after="0" w:before="0" w:line="60" w:lineRule="exact"/>
            </w:pPr>
          </w:p>
          <w:tbl>
            <w:tblPr>
              <w:tblW w:type="dxa" w:w="35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1640"/>
            </w:tblGrid>
            <w:tr>
              <w:tc>
                <w:tcPr>
                  <w:tcW w:type="dxa" w:w="1900"/>
                  <w:tcBorders>
                    <w:top w:val="none" w:color="FFFFFF" w:sz="0"/>
                    <w:left w:val="none" w:color="FFFFFF" w:sz="0"/>
                    <w:bottom w:val="none" w:color="FFFFFF" w:sz="0"/>
                    <w:right w:val="none" w:color="FFFFFF" w:sz="0"/>
                  </w:tcBorders>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Portfolio Manager</w:t>
                  </w:r>
                </w:p>
              </w:tc>
              <w:tc>
                <w:tcPr>
                  <w:tcW w:type="dxa" w:w="1640"/>
                  <w:tcBorders>
                    <w:top w:val="none" w:color="FFFFFF" w:sz="0"/>
                    <w:left w:val="none" w:color="FFFFFF" w:sz="0"/>
                    <w:bottom w:val="none" w:color="FFFFFF" w:sz="0"/>
                    <w:right w:val="none" w:color="FFFFFF" w:sz="0"/>
                  </w:tcBorders>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Marius Hugo</w:t>
                  </w:r>
                </w:p>
              </w:tc>
            </w:tr>
            <w:tr>
              <w:tc>
                <w:tcPr>
                  <w:tcW w:type="dxa" w:w="1900"/>
                  <w:tcBorders>
                    <w:top w:val="none" w:color="FFFFFF" w:sz="0"/>
                    <w:left w:val="none" w:color="FFFFFF" w:sz="0"/>
                    <w:bottom w:val="none" w:color="FFFFFF" w:sz="0"/>
                    <w:right w:val="none" w:color="FFFFFF" w:sz="0"/>
                  </w:tcBorders>
                  <w:shd w:fill="F6F8FA" w:color="auto" w:val="clear"/>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Launch Date</w:t>
                  </w:r>
                </w:p>
              </w:tc>
              <w:tc>
                <w:tcPr>
                  <w:tcW w:type="dxa" w:w="1640"/>
                  <w:tcBorders>
                    <w:top w:val="none" w:color="FFFFFF" w:sz="0"/>
                    <w:left w:val="none" w:color="FFFFFF" w:sz="0"/>
                    <w:bottom w:val="none" w:color="FFFFFF" w:sz="0"/>
                    <w:right w:val="none" w:color="FFFFFF" w:sz="0"/>
                  </w:tcBorders>
                  <w:shd w:fill="F6F8FA" w:color="auto" w:val="clear"/>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07 March 2025</w:t>
                  </w:r>
                </w:p>
              </w:tc>
            </w:tr>
            <w:tr>
              <w:tc>
                <w:tcPr>
                  <w:tcW w:type="dxa" w:w="1900"/>
                  <w:tcBorders>
                    <w:top w:val="none" w:color="FFFFFF" w:sz="0"/>
                    <w:left w:val="none" w:color="FFFFFF" w:sz="0"/>
                    <w:bottom w:val="none" w:color="FFFFFF" w:sz="0"/>
                    <w:right w:val="none" w:color="FFFFFF" w:sz="0"/>
                  </w:tcBorders>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Structure</w:t>
                  </w:r>
                </w:p>
              </w:tc>
              <w:tc>
                <w:tcPr>
                  <w:tcW w:type="dxa" w:w="1640"/>
                  <w:tcBorders>
                    <w:top w:val="none" w:color="FFFFFF" w:sz="0"/>
                    <w:left w:val="none" w:color="FFFFFF" w:sz="0"/>
                    <w:bottom w:val="none" w:color="FFFFFF" w:sz="0"/>
                    <w:right w:val="none" w:color="FFFFFF" w:sz="0"/>
                  </w:tcBorders>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Standard Bank AMC</w:t>
                  </w:r>
                </w:p>
              </w:tc>
            </w:tr>
            <w:tr>
              <w:tc>
                <w:tcPr>
                  <w:tcW w:type="dxa" w:w="1900"/>
                  <w:tcBorders>
                    <w:top w:val="none" w:color="FFFFFF" w:sz="0"/>
                    <w:left w:val="none" w:color="FFFFFF" w:sz="0"/>
                    <w:bottom w:val="none" w:color="FFFFFF" w:sz="0"/>
                    <w:right w:val="none" w:color="FFFFFF" w:sz="0"/>
                  </w:tcBorders>
                  <w:shd w:fill="F6F8FA" w:color="auto" w:val="clear"/>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Benchmark</w:t>
                  </w:r>
                </w:p>
              </w:tc>
              <w:tc>
                <w:tcPr>
                  <w:tcW w:type="dxa" w:w="1640"/>
                  <w:tcBorders>
                    <w:top w:val="none" w:color="FFFFFF" w:sz="0"/>
                    <w:left w:val="none" w:color="FFFFFF" w:sz="0"/>
                    <w:bottom w:val="none" w:color="FFFFFF" w:sz="0"/>
                    <w:right w:val="none" w:color="FFFFFF" w:sz="0"/>
                  </w:tcBorders>
                  <w:shd w:fill="F6F8FA" w:color="auto" w:val="clear"/>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Inflation + 8%</w:t>
                  </w:r>
                </w:p>
              </w:tc>
            </w:tr>
            <w:tr>
              <w:tc>
                <w:tcPr>
                  <w:tcW w:type="dxa" w:w="1900"/>
                  <w:tcBorders>
                    <w:top w:val="none" w:color="FFFFFF" w:sz="0"/>
                    <w:left w:val="none" w:color="FFFFFF" w:sz="0"/>
                    <w:bottom w:val="none" w:color="FFFFFF" w:sz="0"/>
                    <w:right w:val="none" w:color="FFFFFF" w:sz="0"/>
                  </w:tcBorders>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Note Price</w:t>
                  </w:r>
                </w:p>
              </w:tc>
              <w:tc>
                <w:tcPr>
                  <w:tcW w:type="dxa" w:w="1640"/>
                  <w:tcBorders>
                    <w:top w:val="none" w:color="FFFFFF" w:sz="0"/>
                    <w:left w:val="none" w:color="FFFFFF" w:sz="0"/>
                    <w:bottom w:val="none" w:color="FFFFFF" w:sz="0"/>
                    <w:right w:val="none" w:color="FFFFFF" w:sz="0"/>
                  </w:tcBorders>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R1 312.82</w:t>
                  </w:r>
                </w:p>
              </w:tc>
            </w:tr>
            <w:tr>
              <w:tc>
                <w:tcPr>
                  <w:tcW w:type="dxa" w:w="1900"/>
                  <w:tcBorders>
                    <w:top w:val="none" w:color="FFFFFF" w:sz="0"/>
                    <w:left w:val="none" w:color="FFFFFF" w:sz="0"/>
                    <w:bottom w:val="none" w:color="FFFFFF" w:sz="0"/>
                    <w:right w:val="none" w:color="FFFFFF" w:sz="0"/>
                  </w:tcBorders>
                  <w:shd w:fill="F6F8FA" w:color="auto" w:val="clear"/>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Notes in Issue</w:t>
                  </w:r>
                </w:p>
              </w:tc>
              <w:tc>
                <w:tcPr>
                  <w:tcW w:type="dxa" w:w="1640"/>
                  <w:tcBorders>
                    <w:top w:val="none" w:color="FFFFFF" w:sz="0"/>
                    <w:left w:val="none" w:color="FFFFFF" w:sz="0"/>
                    <w:bottom w:val="none" w:color="FFFFFF" w:sz="0"/>
                    <w:right w:val="none" w:color="FFFFFF" w:sz="0"/>
                  </w:tcBorders>
                  <w:shd w:fill="F6F8FA" w:color="auto" w:val="clear"/>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22 852</w:t>
                  </w:r>
                </w:p>
              </w:tc>
            </w:tr>
            <w:tr>
              <w:tc>
                <w:tcPr>
                  <w:tcW w:type="dxa" w:w="1900"/>
                  <w:tcBorders>
                    <w:top w:val="none" w:color="FFFFFF" w:sz="0"/>
                    <w:left w:val="none" w:color="FFFFFF" w:sz="0"/>
                    <w:bottom w:val="none" w:color="FFFFFF" w:sz="0"/>
                    <w:right w:val="none" w:color="FFFFFF" w:sz="0"/>
                  </w:tcBorders>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Fund Size (AUM)</w:t>
                  </w:r>
                </w:p>
              </w:tc>
              <w:tc>
                <w:tcPr>
                  <w:tcW w:type="dxa" w:w="1640"/>
                  <w:tcBorders>
                    <w:top w:val="none" w:color="FFFFFF" w:sz="0"/>
                    <w:left w:val="none" w:color="FFFFFF" w:sz="0"/>
                    <w:bottom w:val="none" w:color="FFFFFF" w:sz="0"/>
                    <w:right w:val="none" w:color="FFFFFF" w:sz="0"/>
                  </w:tcBorders>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R30.00 million</w:t>
                  </w:r>
                </w:p>
              </w:tc>
            </w:tr>
            <w:tr>
              <w:tc>
                <w:tcPr>
                  <w:tcW w:type="dxa" w:w="1900"/>
                  <w:tcBorders>
                    <w:top w:val="none" w:color="FFFFFF" w:sz="0"/>
                    <w:left w:val="none" w:color="FFFFFF" w:sz="0"/>
                    <w:bottom w:val="none" w:color="FFFFFF" w:sz="0"/>
                    <w:right w:val="none" w:color="FFFFFF" w:sz="0"/>
                  </w:tcBorders>
                  <w:shd w:fill="F6F8FA" w:color="auto" w:val="clear"/>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Denomination</w:t>
                  </w:r>
                </w:p>
              </w:tc>
              <w:tc>
                <w:tcPr>
                  <w:tcW w:type="dxa" w:w="1640"/>
                  <w:tcBorders>
                    <w:top w:val="none" w:color="FFFFFF" w:sz="0"/>
                    <w:left w:val="none" w:color="FFFFFF" w:sz="0"/>
                    <w:bottom w:val="none" w:color="FFFFFF" w:sz="0"/>
                    <w:right w:val="none" w:color="FFFFFF" w:sz="0"/>
                  </w:tcBorders>
                  <w:shd w:fill="F6F8FA" w:color="auto" w:val="clear"/>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ZAR</w:t>
                  </w:r>
                </w:p>
              </w:tc>
            </w:tr>
            <w:tr>
              <w:tc>
                <w:tcPr>
                  <w:tcW w:type="dxa" w:w="1900"/>
                  <w:tcBorders>
                    <w:top w:val="none" w:color="FFFFFF" w:sz="0"/>
                    <w:left w:val="none" w:color="FFFFFF" w:sz="0"/>
                    <w:bottom w:val="none" w:color="FFFFFF" w:sz="0"/>
                    <w:right w:val="none" w:color="FFFFFF" w:sz="0"/>
                  </w:tcBorders>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Management Fee</w:t>
                  </w:r>
                </w:p>
              </w:tc>
              <w:tc>
                <w:tcPr>
                  <w:tcW w:type="dxa" w:w="1640"/>
                  <w:tcBorders>
                    <w:top w:val="none" w:color="FFFFFF" w:sz="0"/>
                    <w:left w:val="none" w:color="FFFFFF" w:sz="0"/>
                    <w:bottom w:val="none" w:color="FFFFFF" w:sz="0"/>
                    <w:right w:val="none" w:color="FFFFFF" w:sz="0"/>
                  </w:tcBorders>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1.25% p.a. (excl. VAT)</w:t>
                  </w:r>
                </w:p>
              </w:tc>
            </w:tr>
            <w:tr>
              <w:tc>
                <w:tcPr>
                  <w:tcW w:type="dxa" w:w="1900"/>
                  <w:tcBorders>
                    <w:top w:val="none" w:color="FFFFFF" w:sz="0"/>
                    <w:left w:val="none" w:color="FFFFFF" w:sz="0"/>
                    <w:bottom w:val="none" w:color="FFFFFF" w:sz="0"/>
                    <w:right w:val="none" w:color="FFFFFF" w:sz="0"/>
                  </w:tcBorders>
                  <w:shd w:fill="F6F8FA" w:color="auto" w:val="clear"/>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ISIN</w:t>
                  </w:r>
                </w:p>
              </w:tc>
              <w:tc>
                <w:tcPr>
                  <w:tcW w:type="dxa" w:w="1640"/>
                  <w:tcBorders>
                    <w:top w:val="none" w:color="FFFFFF" w:sz="0"/>
                    <w:left w:val="none" w:color="FFFFFF" w:sz="0"/>
                    <w:bottom w:val="none" w:color="FFFFFF" w:sz="0"/>
                    <w:right w:val="none" w:color="FFFFFF" w:sz="0"/>
                  </w:tcBorders>
                  <w:shd w:fill="F6F8FA" w:color="auto" w:val="clear"/>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ZAE000343836</w:t>
                  </w:r>
                </w:p>
              </w:tc>
            </w:tr>
            <w:tr>
              <w:tc>
                <w:tcPr>
                  <w:tcW w:type="dxa" w:w="1900"/>
                  <w:tcBorders>
                    <w:top w:val="none" w:color="FFFFFF" w:sz="0"/>
                    <w:left w:val="none" w:color="FFFFFF" w:sz="0"/>
                    <w:bottom w:val="none" w:color="FFFFFF" w:sz="0"/>
                    <w:right w:val="none" w:color="FFFFFF" w:sz="0"/>
                  </w:tcBorders>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6C7883"/>
                      <w:sz w:val="16"/>
                      <w:szCs w:val="16"/>
                    </w:rPr>
                    <w:t xml:space="preserve">Alpha Code</w:t>
                  </w:r>
                </w:p>
              </w:tc>
              <w:tc>
                <w:tcPr>
                  <w:tcW w:type="dxa" w:w="1640"/>
                  <w:tcBorders>
                    <w:top w:val="none" w:color="FFFFFF" w:sz="0"/>
                    <w:left w:val="none" w:color="FFFFFF" w:sz="0"/>
                    <w:bottom w:val="none" w:color="FFFFFF" w:sz="0"/>
                    <w:right w:val="none" w:color="FFFFFF" w:sz="0"/>
                  </w:tcBorders>
                  <w:tcMar>
                    <w:top w:type="dxa" w:w="34"/>
                    <w:left w:type="dxa" w:w="20"/>
                    <w:bottom w:type="dxa" w:w="34"/>
                    <w:right w:type="dxa" w:w="60"/>
                  </w:tcMar>
                </w:tcPr>
                <w:p>
                  <w:pPr>
                    <w:spacing w:after="0" w:before="0" w:line="240" w:lineRule="auto"/>
                    <w:jc w:val="right"/>
                  </w:pPr>
                  <w:r>
                    <w:rPr>
                      <w:rFonts w:ascii="Calibri" w:cs="Calibri" w:eastAsia="Calibri" w:hAnsi="Calibri"/>
                      <w:b/>
                      <w:bCs/>
                      <w:i w:val="false"/>
                      <w:iCs w:val="false"/>
                      <w:color w:val="2B3640"/>
                      <w:sz w:val="16"/>
                      <w:szCs w:val="16"/>
                    </w:rPr>
                    <w:t xml:space="preserve">AMC018</w:t>
                  </w:r>
                </w:p>
              </w:tc>
            </w:tr>
          </w:tbl>
          <w:p>
            <w:pPr>
              <w:spacing w:after="0" w:before="0" w:line="150" w:lineRule="exact"/>
            </w:pPr>
          </w:p>
          <w:p>
            <w:pPr>
              <w:shd w:fill="0089B0" w:color="auto" w:val="clear"/>
              <w:spacing w:after="0" w:before="0" w:line="250" w:lineRule="auto"/>
            </w:pPr>
            <w:r>
              <w:rPr>
                <w:rFonts w:ascii="Calibri" w:cs="Calibri" w:eastAsia="Calibri" w:hAnsi="Calibri"/>
                <w:b/>
                <w:bCs/>
                <w:color w:val="FFFFFF"/>
                <w:spacing w:val="6"/>
                <w:sz w:val="18"/>
                <w:szCs w:val="18"/>
              </w:rPr>
              <w:t xml:space="preserve"> RISK INDICATOR</w:t>
            </w:r>
          </w:p>
          <w:p>
            <w:pPr>
              <w:spacing w:after="0" w:before="0" w:line="70" w:lineRule="exact"/>
            </w:pPr>
          </w:p>
          <w:p>
            <w:pPr>
              <w:spacing w:after="80" w:before="0" w:line="210" w:lineRule="auto"/>
            </w:pPr>
            <w:r>
              <w:rPr>
                <w:rFonts w:ascii="Calibri" w:cs="Calibri" w:eastAsia="Calibri" w:hAnsi="Calibri"/>
                <w:b w:val="false"/>
                <w:bCs w:val="false"/>
                <w:i w:val="false"/>
                <w:iCs w:val="false"/>
                <w:color w:val="2B3640"/>
                <w:sz w:val="15"/>
                <w:szCs w:val="15"/>
              </w:rPr>
              <w:t xml:space="preserve">These investments typically exhibit more volatility given their higher exposure to equities, which may result in capital losses. Expected potential long-term returns could be higher than other risk profiles – conversely potential losses could also be higher.</w:t>
            </w:r>
          </w:p>
          <w:tbl>
            <w:tblPr>
              <w:tblW w:type="dxa" w:w="3540"/>
              <w:tblBorders>
                <w:top w:val="none" w:color="FFFFFF" w:sz="0"/>
                <w:left w:val="none" w:color="FFFFFF" w:sz="0"/>
                <w:bottom w:val="none" w:color="FFFFFF" w:sz="0"/>
                <w:right w:val="none" w:color="FFFFFF" w:sz="0"/>
                <w:insideH w:val="none" w:color="FFFFFF" w:sz="0"/>
                <w:insideV w:val="single" w:color="FFFFFF" w:sz="8"/>
              </w:tblBorders>
              <w:tblLayout w:type="fixed"/>
            </w:tblPr>
            <w:tblGrid>
              <w:gridCol w:w="708"/>
              <w:gridCol w:w="708"/>
              <w:gridCol w:w="708"/>
              <w:gridCol w:w="708"/>
              <w:gridCol w:w="708"/>
            </w:tblGrid>
            <w:tr>
              <w:tc>
                <w:tcPr>
                  <w:tcW w:type="dxa" w:w="708"/>
                  <w:tcBorders>
                    <w:top w:val="none" w:color="FFFFFF" w:sz="0"/>
                    <w:left w:val="none" w:color="FFFFFF" w:sz="0"/>
                    <w:bottom w:val="none" w:color="FFFFFF" w:sz="0"/>
                    <w:right w:val="none" w:color="FFFFFF" w:sz="0"/>
                  </w:tcBorders>
                  <w:shd w:fill="EEF2F5" w:color="auto" w:val="clear"/>
                  <w:tcMar>
                    <w:top w:type="dxa" w:w="60"/>
                    <w:left w:type="dxa" w:w="20"/>
                    <w:bottom w:type="dxa" w:w="60"/>
                    <w:right w:type="dxa" w:w="20"/>
                  </w:tcMar>
                  <w:vAlign w:val="center"/>
                </w:tcPr>
                <w:p>
                  <w:pPr>
                    <w:spacing w:after="0" w:before="0" w:line="240" w:lineRule="auto"/>
                    <w:jc w:val="center"/>
                  </w:pPr>
                  <w:r>
                    <w:rPr>
                      <w:rFonts w:ascii="Calibri" w:cs="Calibri" w:eastAsia="Calibri" w:hAnsi="Calibri"/>
                      <w:b w:val="false"/>
                      <w:bCs w:val="false"/>
                      <w:i w:val="false"/>
                      <w:iCs w:val="false"/>
                      <w:color w:val="6C7883"/>
                      <w:sz w:val="14"/>
                      <w:szCs w:val="14"/>
                    </w:rPr>
                    <w:t xml:space="preserve">LOW</w:t>
                  </w:r>
                </w:p>
              </w:tc>
              <w:tc>
                <w:tcPr>
                  <w:tcW w:type="dxa" w:w="708"/>
                  <w:tcBorders>
                    <w:top w:val="none" w:color="FFFFFF" w:sz="0"/>
                    <w:left w:val="none" w:color="FFFFFF" w:sz="0"/>
                    <w:bottom w:val="none" w:color="FFFFFF" w:sz="0"/>
                    <w:right w:val="none" w:color="FFFFFF" w:sz="0"/>
                  </w:tcBorders>
                  <w:shd w:fill="EEF2F5" w:color="auto" w:val="clear"/>
                  <w:tcMar>
                    <w:top w:type="dxa" w:w="60"/>
                    <w:left w:type="dxa" w:w="20"/>
                    <w:bottom w:type="dxa" w:w="60"/>
                    <w:right w:type="dxa" w:w="20"/>
                  </w:tcMar>
                  <w:vAlign w:val="center"/>
                </w:tcPr>
                <w:p>
                  <w:pPr>
                    <w:spacing w:after="0" w:before="0" w:line="240" w:lineRule="auto"/>
                    <w:jc w:val="center"/>
                  </w:pPr>
                  <w:r>
                    <w:rPr>
                      <w:rFonts w:ascii="Calibri" w:cs="Calibri" w:eastAsia="Calibri" w:hAnsi="Calibri"/>
                      <w:b w:val="false"/>
                      <w:bCs w:val="false"/>
                      <w:i w:val="false"/>
                      <w:iCs w:val="false"/>
                      <w:color w:val="6C7883"/>
                      <w:sz w:val="14"/>
                      <w:szCs w:val="14"/>
                    </w:rPr>
                    <w:t xml:space="preserve">LOW–</w:t>
                  </w:r>
                </w:p>
              </w:tc>
              <w:tc>
                <w:tcPr>
                  <w:tcW w:type="dxa" w:w="708"/>
                  <w:tcBorders>
                    <w:top w:val="none" w:color="FFFFFF" w:sz="0"/>
                    <w:left w:val="none" w:color="FFFFFF" w:sz="0"/>
                    <w:bottom w:val="none" w:color="FFFFFF" w:sz="0"/>
                    <w:right w:val="none" w:color="FFFFFF" w:sz="0"/>
                  </w:tcBorders>
                  <w:shd w:fill="EEF2F5" w:color="auto" w:val="clear"/>
                  <w:tcMar>
                    <w:top w:type="dxa" w:w="60"/>
                    <w:left w:type="dxa" w:w="20"/>
                    <w:bottom w:type="dxa" w:w="60"/>
                    <w:right w:type="dxa" w:w="20"/>
                  </w:tcMar>
                  <w:vAlign w:val="center"/>
                </w:tcPr>
                <w:p>
                  <w:pPr>
                    <w:spacing w:after="0" w:before="0" w:line="240" w:lineRule="auto"/>
                    <w:jc w:val="center"/>
                  </w:pPr>
                  <w:r>
                    <w:rPr>
                      <w:rFonts w:ascii="Calibri" w:cs="Calibri" w:eastAsia="Calibri" w:hAnsi="Calibri"/>
                      <w:b w:val="false"/>
                      <w:bCs w:val="false"/>
                      <w:i w:val="false"/>
                      <w:iCs w:val="false"/>
                      <w:color w:val="6C7883"/>
                      <w:sz w:val="14"/>
                      <w:szCs w:val="14"/>
                    </w:rPr>
                    <w:t xml:space="preserve">MED</w:t>
                  </w:r>
                </w:p>
              </w:tc>
              <w:tc>
                <w:tcPr>
                  <w:tcW w:type="dxa" w:w="708"/>
                  <w:tcBorders>
                    <w:top w:val="none" w:color="FFFFFF" w:sz="0"/>
                    <w:left w:val="none" w:color="FFFFFF" w:sz="0"/>
                    <w:bottom w:val="none" w:color="FFFFFF" w:sz="0"/>
                    <w:right w:val="none" w:color="FFFFFF" w:sz="0"/>
                  </w:tcBorders>
                  <w:shd w:fill="EEF2F5" w:color="auto" w:val="clear"/>
                  <w:tcMar>
                    <w:top w:type="dxa" w:w="60"/>
                    <w:left w:type="dxa" w:w="20"/>
                    <w:bottom w:type="dxa" w:w="60"/>
                    <w:right w:type="dxa" w:w="20"/>
                  </w:tcMar>
                  <w:vAlign w:val="center"/>
                </w:tcPr>
                <w:p>
                  <w:pPr>
                    <w:spacing w:after="0" w:before="0" w:line="240" w:lineRule="auto"/>
                    <w:jc w:val="center"/>
                  </w:pPr>
                  <w:r>
                    <w:rPr>
                      <w:rFonts w:ascii="Calibri" w:cs="Calibri" w:eastAsia="Calibri" w:hAnsi="Calibri"/>
                      <w:b w:val="false"/>
                      <w:bCs w:val="false"/>
                      <w:i w:val="false"/>
                      <w:iCs w:val="false"/>
                      <w:color w:val="6C7883"/>
                      <w:sz w:val="14"/>
                      <w:szCs w:val="14"/>
                    </w:rPr>
                    <w:t xml:space="preserve">MED–</w:t>
                  </w:r>
                </w:p>
              </w:tc>
              <w:tc>
                <w:tcPr>
                  <w:tcW w:type="dxa" w:w="708"/>
                  <w:tcBorders>
                    <w:top w:val="none" w:color="FFFFFF" w:sz="0"/>
                    <w:left w:val="none" w:color="FFFFFF" w:sz="0"/>
                    <w:bottom w:val="none" w:color="FFFFFF" w:sz="0"/>
                    <w:right w:val="none" w:color="FFFFFF" w:sz="0"/>
                  </w:tcBorders>
                  <w:shd w:fill="12355B" w:color="auto" w:val="clear"/>
                  <w:tcMar>
                    <w:top w:type="dxa" w:w="60"/>
                    <w:left w:type="dxa" w:w="20"/>
                    <w:bottom w:type="dxa" w:w="60"/>
                    <w:right w:type="dxa" w:w="20"/>
                  </w:tcMar>
                  <w:vAlign w:val="center"/>
                </w:tcPr>
                <w:p>
                  <w:pPr>
                    <w:spacing w:after="0" w:before="0" w:line="240" w:lineRule="auto"/>
                    <w:jc w:val="center"/>
                  </w:pPr>
                  <w:r>
                    <w:rPr>
                      <w:rFonts w:ascii="Calibri" w:cs="Calibri" w:eastAsia="Calibri" w:hAnsi="Calibri"/>
                      <w:b/>
                      <w:bCs/>
                      <w:i w:val="false"/>
                      <w:iCs w:val="false"/>
                      <w:color w:val="FFFFFF"/>
                      <w:sz w:val="14"/>
                      <w:szCs w:val="14"/>
                    </w:rPr>
                    <w:t xml:space="preserve">HIGH</w:t>
                  </w:r>
                </w:p>
              </w:tc>
            </w:tr>
          </w:tbl>
          <w:p>
            <w:pPr>
              <w:spacing w:after="0" w:before="0" w:line="150" w:lineRule="exact"/>
            </w:pPr>
          </w:p>
          <w:p>
            <w:pPr>
              <w:shd w:fill="0089B0" w:color="auto" w:val="clear"/>
              <w:spacing w:after="0" w:before="0" w:line="250" w:lineRule="auto"/>
            </w:pPr>
            <w:r>
              <w:rPr>
                <w:rFonts w:ascii="Calibri" w:cs="Calibri" w:eastAsia="Calibri" w:hAnsi="Calibri"/>
                <w:b/>
                <w:bCs/>
                <w:color w:val="FFFFFF"/>
                <w:spacing w:val="6"/>
                <w:sz w:val="18"/>
                <w:szCs w:val="18"/>
              </w:rPr>
              <w:t xml:space="preserve"> REGIONAL ALLOCATION</w:t>
            </w:r>
          </w:p>
          <w:p>
            <w:pPr>
              <w:spacing w:after="0" w:before="0" w:line="70" w:lineRule="exact"/>
            </w:pPr>
          </w:p>
          <w:tbl>
            <w:tblPr>
              <w:tblW w:type="dxa" w:w="35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20"/>
              <w:gridCol w:w="2020"/>
            </w:tblGrid>
            <w:tr>
              <w:tc>
                <w:tcPr>
                  <w:tcW w:type="dxa" w:w="1520"/>
                  <w:tcBorders>
                    <w:top w:val="none" w:color="FFFFFF" w:sz="0"/>
                    <w:left w:val="none" w:color="FFFFFF" w:sz="0"/>
                    <w:bottom w:val="none" w:color="FFFFFF" w:sz="0"/>
                    <w:right w:val="none" w:color="FFFFFF" w:sz="0"/>
                  </w:tcBorders>
                  <w:vAlign w:val="center"/>
                </w:tcPr>
                <w:p>
                  <w:pPr>
                    <w:spacing w:line="240" w:lineRule="auto"/>
                    <w:jc w:val="center"/>
                  </w:pPr>
                  <w:r>
                    <w:drawing>
                      <wp:inline distT="0" distB="0" distL="0" distR="0">
                        <wp:extent cx="9525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52500" cy="952500"/>
                                </a:xfrm>
                                <a:prstGeom prst="rect">
                                  <a:avLst/>
                                </a:prstGeom>
                              </pic:spPr>
                            </pic:pic>
                          </a:graphicData>
                        </a:graphic>
                      </wp:inline>
                    </w:drawing>
                  </w:r>
                </w:p>
              </w:tc>
              <w:tc>
                <w:tcPr>
                  <w:tcW w:type="dxa" w:w="2020"/>
                  <w:tcBorders>
                    <w:top w:val="none" w:color="FFFFFF" w:sz="0"/>
                    <w:left w:val="none" w:color="FFFFFF" w:sz="0"/>
                    <w:bottom w:val="none" w:color="FFFFFF" w:sz="0"/>
                    <w:right w:val="none" w:color="FFFFFF" w:sz="0"/>
                  </w:tcBorders>
                  <w:tcMar>
                    <w:left w:type="dxa" w:w="60"/>
                  </w:tcMar>
                  <w:vAlign w:val="center"/>
                </w:tcPr>
                <w:p>
                  <w:pPr>
                    <w:spacing w:after="40" w:before="0" w:line="240" w:lineRule="auto"/>
                  </w:pPr>
                  <w:r>
                    <w:rPr>
                      <w:rFonts w:ascii="Calibri" w:cs="Calibri" w:eastAsia="Calibri" w:hAnsi="Calibri"/>
                      <w:color w:val="12355B"/>
                      <w:sz w:val="18"/>
                      <w:szCs w:val="18"/>
                    </w:rPr>
                    <w:t xml:space="preserve">■  </w:t>
                  </w:r>
                  <w:r>
                    <w:rPr>
                      <w:rFonts w:ascii="Calibri" w:cs="Calibri" w:eastAsia="Calibri" w:hAnsi="Calibri"/>
                      <w:b w:val="false"/>
                      <w:bCs w:val="false"/>
                      <w:i w:val="false"/>
                      <w:iCs w:val="false"/>
                      <w:color w:val="2B3640"/>
                      <w:sz w:val="16"/>
                      <w:szCs w:val="16"/>
                    </w:rPr>
                    <w:t xml:space="preserve">South Africa</w:t>
                  </w:r>
                  <w:r>
                    <w:rPr>
                      <w:rFonts w:ascii="Calibri" w:cs="Calibri" w:eastAsia="Calibri" w:hAnsi="Calibri"/>
                      <w:b/>
                      <w:bCs/>
                      <w:i w:val="false"/>
                      <w:iCs w:val="false"/>
                      <w:color w:val="12355B"/>
                      <w:sz w:val="16"/>
                      <w:szCs w:val="16"/>
                    </w:rPr>
                    <w:t xml:space="preserve">   85%</w:t>
                  </w:r>
                </w:p>
                <w:p>
                  <w:pPr>
                    <w:spacing w:after="0" w:before="0" w:line="240" w:lineRule="auto"/>
                  </w:pPr>
                  <w:r>
                    <w:rPr>
                      <w:rFonts w:ascii="Calibri" w:cs="Calibri" w:eastAsia="Calibri" w:hAnsi="Calibri"/>
                      <w:color w:val="C8922B"/>
                      <w:sz w:val="18"/>
                      <w:szCs w:val="18"/>
                    </w:rPr>
                    <w:t xml:space="preserve">■  </w:t>
                  </w:r>
                  <w:r>
                    <w:rPr>
                      <w:rFonts w:ascii="Calibri" w:cs="Calibri" w:eastAsia="Calibri" w:hAnsi="Calibri"/>
                      <w:b w:val="false"/>
                      <w:bCs w:val="false"/>
                      <w:i w:val="false"/>
                      <w:iCs w:val="false"/>
                      <w:color w:val="2B3640"/>
                      <w:sz w:val="16"/>
                      <w:szCs w:val="16"/>
                    </w:rPr>
                    <w:t xml:space="preserve">United States</w:t>
                  </w:r>
                  <w:r>
                    <w:rPr>
                      <w:rFonts w:ascii="Calibri" w:cs="Calibri" w:eastAsia="Calibri" w:hAnsi="Calibri"/>
                      <w:b/>
                      <w:bCs/>
                      <w:i w:val="false"/>
                      <w:iCs w:val="false"/>
                      <w:color w:val="12355B"/>
                      <w:sz w:val="16"/>
                      <w:szCs w:val="16"/>
                    </w:rPr>
                    <w:t xml:space="preserve">   15%</w:t>
                  </w:r>
                </w:p>
                <w:p>
                  <w:pPr>
                    <w:spacing w:after="0" w:before="80" w:line="200" w:lineRule="auto"/>
                  </w:pPr>
                  <w:r>
                    <w:rPr>
                      <w:rFonts w:ascii="Calibri" w:cs="Calibri" w:eastAsia="Calibri" w:hAnsi="Calibri"/>
                      <w:b w:val="false"/>
                      <w:bCs w:val="false"/>
                      <w:i/>
                      <w:iCs/>
                      <w:color w:val="6C7883"/>
                      <w:sz w:val="13"/>
                      <w:szCs w:val="13"/>
                    </w:rPr>
                    <w:t xml:space="preserve">US exposure held via Berkshire Hathaway.</w:t>
                  </w:r>
                </w:p>
              </w:tc>
            </w:tr>
          </w:tbl>
          <w:p/>
        </w:tc>
        <w:tc>
          <w:tcPr>
            <w:tcW w:type="dxa" w:w="6706"/>
            <w:tcBorders>
              <w:top w:val="none" w:color="FFFFFF" w:sz="0"/>
              <w:left w:val="none" w:color="FFFFFF" w:sz="0"/>
              <w:bottom w:val="none" w:color="FFFFFF" w:sz="0"/>
              <w:right w:val="none" w:color="FFFFFF" w:sz="0"/>
            </w:tcBorders>
            <w:tcMar>
              <w:top w:type="dxa" w:w="0"/>
              <w:left w:type="dxa" w:w="220"/>
              <w:bottom w:type="dxa" w:w="0"/>
              <w:right w:type="dxa" w:w="0"/>
            </w:tcMar>
          </w:tcPr>
          <w:p>
            <w:pPr>
              <w:shd w:fill="0089B0" w:color="auto" w:val="clear"/>
              <w:spacing w:after="0" w:before="0" w:line="250" w:lineRule="auto"/>
            </w:pPr>
            <w:r>
              <w:rPr>
                <w:rFonts w:ascii="Calibri" w:cs="Calibri" w:eastAsia="Calibri" w:hAnsi="Calibri"/>
                <w:b/>
                <w:bCs/>
                <w:color w:val="FFFFFF"/>
                <w:spacing w:val="6"/>
                <w:sz w:val="18"/>
                <w:szCs w:val="18"/>
              </w:rPr>
              <w:t xml:space="preserve"> FUND OBJECTIVE &amp; STRATEGY</w:t>
            </w:r>
          </w:p>
          <w:p>
            <w:pPr>
              <w:spacing w:after="0" w:before="0" w:line="60" w:lineRule="exact"/>
            </w:pPr>
          </w:p>
          <w:p>
            <w:pPr>
              <w:spacing w:after="120" w:before="0" w:line="220" w:lineRule="auto"/>
            </w:pPr>
            <w:r>
              <w:rPr>
                <w:rFonts w:ascii="Calibri" w:cs="Calibri" w:eastAsia="Calibri" w:hAnsi="Calibri"/>
                <w:b w:val="false"/>
                <w:bCs w:val="false"/>
                <w:i w:val="false"/>
                <w:iCs w:val="false"/>
                <w:color w:val="2B3640"/>
                <w:sz w:val="16"/>
                <w:szCs w:val="16"/>
              </w:rPr>
              <w:t xml:space="preserve">At MH Capital we identify and capitalize on unique investment opportunities. Through a disciplined approach we provide our investors access to listed companies not accessible through other investment products.</w:t>
            </w:r>
          </w:p>
          <w:p>
            <w:pPr>
              <w:shd w:fill="0089B0" w:color="auto" w:val="clear"/>
              <w:spacing w:after="0" w:before="0" w:line="250" w:lineRule="auto"/>
            </w:pPr>
            <w:r>
              <w:rPr>
                <w:rFonts w:ascii="Calibri" w:cs="Calibri" w:eastAsia="Calibri" w:hAnsi="Calibri"/>
                <w:b/>
                <w:bCs/>
                <w:color w:val="FFFFFF"/>
                <w:spacing w:val="6"/>
                <w:sz w:val="18"/>
                <w:szCs w:val="18"/>
              </w:rPr>
              <w:t xml:space="preserve"> WHO SHOULD INVEST</w:t>
            </w:r>
          </w:p>
          <w:p>
            <w:pPr>
              <w:spacing w:after="0" w:before="0" w:line="60" w:lineRule="exact"/>
            </w:pPr>
          </w:p>
          <w:p>
            <w:pPr>
              <w:spacing w:after="130" w:before="0" w:line="220" w:lineRule="auto"/>
            </w:pPr>
            <w:r>
              <w:rPr>
                <w:rFonts w:ascii="Calibri" w:cs="Calibri" w:eastAsia="Calibri" w:hAnsi="Calibri"/>
                <w:b w:val="false"/>
                <w:bCs w:val="false"/>
                <w:i w:val="false"/>
                <w:iCs w:val="false"/>
                <w:color w:val="2B3640"/>
                <w:sz w:val="16"/>
                <w:szCs w:val="16"/>
              </w:rPr>
              <w:t xml:space="preserve">This investment is well-suited for long-term investors seeking the potential for enhanced capital growth. Due to the note’s differentiated and targeted strategy, it is best viewed as a complementary addition to an investor’s existing portfolio. Investors should have the capacity to tolerate higher levels of capital volatility associated with this type of investment.</w:t>
            </w:r>
          </w:p>
          <w:p>
            <w:pPr>
              <w:shd w:fill="0089B0" w:color="auto" w:val="clear"/>
              <w:spacing w:after="0" w:before="0" w:line="250" w:lineRule="auto"/>
            </w:pPr>
            <w:r>
              <w:rPr>
                <w:rFonts w:ascii="Calibri" w:cs="Calibri" w:eastAsia="Calibri" w:hAnsi="Calibri"/>
                <w:b/>
                <w:bCs/>
                <w:color w:val="FFFFFF"/>
                <w:spacing w:val="6"/>
                <w:sz w:val="18"/>
                <w:szCs w:val="18"/>
              </w:rPr>
              <w:t xml:space="preserve"> PERFORMANCE</w:t>
            </w:r>
          </w:p>
          <w:p>
            <w:pPr>
              <w:spacing w:after="0" w:before="0" w:line="70" w:lineRule="exact"/>
            </w:pPr>
          </w:p>
          <w:tbl>
            <w:tblPr>
              <w:tblW w:type="dxa" w:w="648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86"/>
              <w:gridCol w:w="1250"/>
              <w:gridCol w:w="1250"/>
              <w:gridCol w:w="1250"/>
              <w:gridCol w:w="1250"/>
            </w:tblGrid>
            <w:tr>
              <w:trPr>
                <w:tblHeader/>
              </w:trPr>
              <w:tc>
                <w:tcPr>
                  <w:tcW w:type="dxa" w:w="1486"/>
                  <w:tcBorders>
                    <w:top w:val="none" w:color="FFFFFF" w:sz="0"/>
                    <w:left w:val="none" w:color="FFFFFF" w:sz="0"/>
                    <w:bottom w:val="none" w:color="FFFFFF" w:sz="0"/>
                    <w:right w:val="none" w:color="FFFFFF" w:sz="0"/>
                  </w:tcBorders>
                  <w:shd w:fill="12355B" w:color="auto" w:val="clear"/>
                  <w:tcMar>
                    <w:top w:type="dxa" w:w="50"/>
                    <w:left w:type="dxa" w:w="60"/>
                    <w:bottom w:type="dxa" w:w="50"/>
                    <w:right w:type="dxa" w:w="60"/>
                  </w:tcMar>
                  <w:vAlign w:val="center"/>
                </w:tcPr>
                <w:p>
                  <w:pPr>
                    <w:spacing w:after="0" w:before="0" w:line="240" w:lineRule="auto"/>
                    <w:jc w:val="left"/>
                  </w:pPr>
                  <w:r>
                    <w:rPr>
                      <w:rFonts w:ascii="Calibri" w:cs="Calibri" w:eastAsia="Calibri" w:hAnsi="Calibri"/>
                      <w:b/>
                      <w:bCs/>
                      <w:i w:val="false"/>
                      <w:iCs w:val="false"/>
                      <w:color w:val="FFFFFF"/>
                      <w:sz w:val="15"/>
                      <w:szCs w:val="15"/>
                    </w:rPr>
                    <w:t xml:space="preserve"/>
                  </w:r>
                </w:p>
              </w:tc>
              <w:tc>
                <w:tcPr>
                  <w:tcW w:type="dxa" w:w="1250"/>
                  <w:tcBorders>
                    <w:top w:val="none" w:color="FFFFFF" w:sz="0"/>
                    <w:left w:val="none" w:color="FFFFFF" w:sz="0"/>
                    <w:bottom w:val="none" w:color="FFFFFF" w:sz="0"/>
                    <w:right w:val="none" w:color="FFFFFF" w:sz="0"/>
                  </w:tcBorders>
                  <w:shd w:fill="12355B" w:color="auto" w:val="clear"/>
                  <w:tcMar>
                    <w:top w:type="dxa" w:w="50"/>
                    <w:left w:type="dxa" w:w="60"/>
                    <w:bottom w:type="dxa" w:w="50"/>
                    <w:right w:type="dxa" w:w="60"/>
                  </w:tcMar>
                  <w:vAlign w:val="center"/>
                </w:tcPr>
                <w:p>
                  <w:pPr>
                    <w:spacing w:after="0" w:before="0" w:line="240" w:lineRule="auto"/>
                    <w:jc w:val="center"/>
                  </w:pPr>
                  <w:r>
                    <w:rPr>
                      <w:rFonts w:ascii="Calibri" w:cs="Calibri" w:eastAsia="Calibri" w:hAnsi="Calibri"/>
                      <w:b/>
                      <w:bCs/>
                      <w:i w:val="false"/>
                      <w:iCs w:val="false"/>
                      <w:color w:val="FFFFFF"/>
                      <w:sz w:val="15"/>
                      <w:szCs w:val="15"/>
                    </w:rPr>
                    <w:t xml:space="preserve">3 Months</w:t>
                  </w:r>
                </w:p>
              </w:tc>
              <w:tc>
                <w:tcPr>
                  <w:tcW w:type="dxa" w:w="1250"/>
                  <w:tcBorders>
                    <w:top w:val="none" w:color="FFFFFF" w:sz="0"/>
                    <w:left w:val="none" w:color="FFFFFF" w:sz="0"/>
                    <w:bottom w:val="none" w:color="FFFFFF" w:sz="0"/>
                    <w:right w:val="none" w:color="FFFFFF" w:sz="0"/>
                  </w:tcBorders>
                  <w:shd w:fill="12355B" w:color="auto" w:val="clear"/>
                  <w:tcMar>
                    <w:top w:type="dxa" w:w="50"/>
                    <w:left w:type="dxa" w:w="60"/>
                    <w:bottom w:type="dxa" w:w="50"/>
                    <w:right w:type="dxa" w:w="60"/>
                  </w:tcMar>
                  <w:vAlign w:val="center"/>
                </w:tcPr>
                <w:p>
                  <w:pPr>
                    <w:spacing w:after="0" w:before="0" w:line="240" w:lineRule="auto"/>
                    <w:jc w:val="center"/>
                  </w:pPr>
                  <w:r>
                    <w:rPr>
                      <w:rFonts w:ascii="Calibri" w:cs="Calibri" w:eastAsia="Calibri" w:hAnsi="Calibri"/>
                      <w:b/>
                      <w:bCs/>
                      <w:i w:val="false"/>
                      <w:iCs w:val="false"/>
                      <w:color w:val="FFFFFF"/>
                      <w:sz w:val="15"/>
                      <w:szCs w:val="15"/>
                    </w:rPr>
                    <w:t xml:space="preserve">6 Months</w:t>
                  </w:r>
                </w:p>
              </w:tc>
              <w:tc>
                <w:tcPr>
                  <w:tcW w:type="dxa" w:w="1250"/>
                  <w:tcBorders>
                    <w:top w:val="none" w:color="FFFFFF" w:sz="0"/>
                    <w:left w:val="none" w:color="FFFFFF" w:sz="0"/>
                    <w:bottom w:val="none" w:color="FFFFFF" w:sz="0"/>
                    <w:right w:val="none" w:color="FFFFFF" w:sz="0"/>
                  </w:tcBorders>
                  <w:shd w:fill="12355B" w:color="auto" w:val="clear"/>
                  <w:tcMar>
                    <w:top w:type="dxa" w:w="50"/>
                    <w:left w:type="dxa" w:w="60"/>
                    <w:bottom w:type="dxa" w:w="50"/>
                    <w:right w:type="dxa" w:w="60"/>
                  </w:tcMar>
                  <w:vAlign w:val="center"/>
                </w:tcPr>
                <w:p>
                  <w:pPr>
                    <w:spacing w:after="0" w:before="0" w:line="240" w:lineRule="auto"/>
                    <w:jc w:val="center"/>
                  </w:pPr>
                  <w:r>
                    <w:rPr>
                      <w:rFonts w:ascii="Calibri" w:cs="Calibri" w:eastAsia="Calibri" w:hAnsi="Calibri"/>
                      <w:b/>
                      <w:bCs/>
                      <w:i w:val="false"/>
                      <w:iCs w:val="false"/>
                      <w:color w:val="FFFFFF"/>
                      <w:sz w:val="15"/>
                      <w:szCs w:val="15"/>
                    </w:rPr>
                    <w:t xml:space="preserve">1 Year</w:t>
                  </w:r>
                </w:p>
              </w:tc>
              <w:tc>
                <w:tcPr>
                  <w:tcW w:type="dxa" w:w="1250"/>
                  <w:tcBorders>
                    <w:top w:val="none" w:color="FFFFFF" w:sz="0"/>
                    <w:left w:val="none" w:color="FFFFFF" w:sz="0"/>
                    <w:bottom w:val="none" w:color="FFFFFF" w:sz="0"/>
                    <w:right w:val="none" w:color="FFFFFF" w:sz="0"/>
                  </w:tcBorders>
                  <w:shd w:fill="12355B" w:color="auto" w:val="clear"/>
                  <w:tcMar>
                    <w:top w:type="dxa" w:w="50"/>
                    <w:left w:type="dxa" w:w="60"/>
                    <w:bottom w:type="dxa" w:w="50"/>
                    <w:right w:type="dxa" w:w="60"/>
                  </w:tcMar>
                  <w:vAlign w:val="center"/>
                </w:tcPr>
                <w:p>
                  <w:pPr>
                    <w:spacing w:after="0" w:before="0" w:line="240" w:lineRule="auto"/>
                    <w:jc w:val="center"/>
                  </w:pPr>
                  <w:r>
                    <w:rPr>
                      <w:rFonts w:ascii="Calibri" w:cs="Calibri" w:eastAsia="Calibri" w:hAnsi="Calibri"/>
                      <w:b/>
                      <w:bCs/>
                      <w:i w:val="false"/>
                      <w:iCs w:val="false"/>
                      <w:color w:val="FFFFFF"/>
                      <w:sz w:val="15"/>
                      <w:szCs w:val="15"/>
                    </w:rPr>
                    <w:t xml:space="preserve">Since Inception</w:t>
                  </w:r>
                </w:p>
              </w:tc>
            </w:tr>
            <w:tr>
              <w:tc>
                <w:tcPr>
                  <w:tcW w:type="dxa" w:w="1486"/>
                  <w:tcBorders>
                    <w:top w:val="none" w:color="FFFFFF" w:sz="0"/>
                    <w:left w:val="none" w:color="FFFFFF" w:sz="0"/>
                    <w:bottom w:val="none" w:color="FFFFFF" w:sz="0"/>
                    <w:right w:val="none" w:color="FFFFFF" w:sz="0"/>
                  </w:tcBorders>
                  <w:tcMar>
                    <w:top w:type="dxa" w:w="44"/>
                    <w:left w:type="dxa" w:w="60"/>
                    <w:bottom w:type="dxa" w:w="44"/>
                    <w:right w:type="dxa" w:w="60"/>
                  </w:tcMar>
                  <w:vAlign w:val="center"/>
                </w:tcPr>
                <w:p>
                  <w:pPr>
                    <w:spacing w:after="0" w:before="0" w:line="240" w:lineRule="auto"/>
                    <w:jc w:val="left"/>
                  </w:pPr>
                  <w:r>
                    <w:rPr>
                      <w:rFonts w:ascii="Calibri" w:cs="Calibri" w:eastAsia="Calibri" w:hAnsi="Calibri"/>
                      <w:b/>
                      <w:bCs/>
                      <w:i w:val="false"/>
                      <w:iCs w:val="false"/>
                      <w:color w:val="12355B"/>
                      <w:sz w:val="16"/>
                      <w:szCs w:val="16"/>
                    </w:rPr>
                    <w:t xml:space="preserve">Fund</w:t>
                  </w:r>
                </w:p>
              </w:tc>
              <w:tc>
                <w:tcPr>
                  <w:tcW w:type="dxa" w:w="1250"/>
                  <w:tcBorders>
                    <w:top w:val="none" w:color="FFFFFF" w:sz="0"/>
                    <w:left w:val="none" w:color="FFFFFF" w:sz="0"/>
                    <w:bottom w:val="none" w:color="FFFFFF" w:sz="0"/>
                    <w:right w:val="none" w:color="FFFFFF" w:sz="0"/>
                  </w:tcBorders>
                  <w:tcMar>
                    <w:top w:type="dxa" w:w="44"/>
                    <w:left w:type="dxa" w:w="60"/>
                    <w:bottom w:type="dxa" w:w="44"/>
                    <w:right w:type="dxa" w:w="60"/>
                  </w:tcMar>
                  <w:vAlign w:val="center"/>
                </w:tcPr>
                <w:p>
                  <w:pPr>
                    <w:spacing w:after="0" w:before="0" w:line="240" w:lineRule="auto"/>
                    <w:jc w:val="center"/>
                  </w:pPr>
                  <w:r>
                    <w:rPr>
                      <w:rFonts w:ascii="Calibri" w:cs="Calibri" w:eastAsia="Calibri" w:hAnsi="Calibri"/>
                      <w:b w:val="false"/>
                      <w:bCs w:val="false"/>
                      <w:i w:val="false"/>
                      <w:iCs w:val="false"/>
                      <w:color w:val="2B3640"/>
                      <w:sz w:val="16"/>
                      <w:szCs w:val="16"/>
                    </w:rPr>
                    <w:t xml:space="preserve">-1.08%</w:t>
                  </w:r>
                </w:p>
              </w:tc>
              <w:tc>
                <w:tcPr>
                  <w:tcW w:type="dxa" w:w="1250"/>
                  <w:tcBorders>
                    <w:top w:val="none" w:color="FFFFFF" w:sz="0"/>
                    <w:left w:val="none" w:color="FFFFFF" w:sz="0"/>
                    <w:bottom w:val="none" w:color="FFFFFF" w:sz="0"/>
                    <w:right w:val="none" w:color="FFFFFF" w:sz="0"/>
                  </w:tcBorders>
                  <w:tcMar>
                    <w:top w:type="dxa" w:w="44"/>
                    <w:left w:type="dxa" w:w="60"/>
                    <w:bottom w:type="dxa" w:w="44"/>
                    <w:right w:type="dxa" w:w="60"/>
                  </w:tcMar>
                  <w:vAlign w:val="center"/>
                </w:tcPr>
                <w:p>
                  <w:pPr>
                    <w:spacing w:after="0" w:before="0" w:line="240" w:lineRule="auto"/>
                    <w:jc w:val="center"/>
                  </w:pPr>
                  <w:r>
                    <w:rPr>
                      <w:rFonts w:ascii="Calibri" w:cs="Calibri" w:eastAsia="Calibri" w:hAnsi="Calibri"/>
                      <w:b w:val="false"/>
                      <w:bCs w:val="false"/>
                      <w:i w:val="false"/>
                      <w:iCs w:val="false"/>
                      <w:color w:val="2B3640"/>
                      <w:sz w:val="16"/>
                      <w:szCs w:val="16"/>
                    </w:rPr>
                    <w:t xml:space="preserve">-1.45%</w:t>
                  </w:r>
                </w:p>
              </w:tc>
              <w:tc>
                <w:tcPr>
                  <w:tcW w:type="dxa" w:w="1250"/>
                  <w:tcBorders>
                    <w:top w:val="none" w:color="FFFFFF" w:sz="0"/>
                    <w:left w:val="none" w:color="FFFFFF" w:sz="0"/>
                    <w:bottom w:val="none" w:color="FFFFFF" w:sz="0"/>
                    <w:right w:val="none" w:color="FFFFFF" w:sz="0"/>
                  </w:tcBorders>
                  <w:tcMar>
                    <w:top w:type="dxa" w:w="44"/>
                    <w:left w:type="dxa" w:w="60"/>
                    <w:bottom w:type="dxa" w:w="44"/>
                    <w:right w:type="dxa" w:w="60"/>
                  </w:tcMar>
                  <w:vAlign w:val="center"/>
                </w:tcPr>
                <w:p>
                  <w:pPr>
                    <w:spacing w:after="0" w:before="0" w:line="240" w:lineRule="auto"/>
                    <w:jc w:val="center"/>
                  </w:pPr>
                  <w:r>
                    <w:rPr>
                      <w:rFonts w:ascii="Calibri" w:cs="Calibri" w:eastAsia="Calibri" w:hAnsi="Calibri"/>
                      <w:b w:val="false"/>
                      <w:bCs w:val="false"/>
                      <w:i w:val="false"/>
                      <w:iCs w:val="false"/>
                      <w:color w:val="2B3640"/>
                      <w:sz w:val="16"/>
                      <w:szCs w:val="16"/>
                    </w:rPr>
                    <w:t xml:space="preserve">9.88%</w:t>
                  </w:r>
                </w:p>
              </w:tc>
              <w:tc>
                <w:tcPr>
                  <w:tcW w:type="dxa" w:w="1250"/>
                  <w:tcBorders>
                    <w:top w:val="none" w:color="FFFFFF" w:sz="0"/>
                    <w:left w:val="none" w:color="FFFFFF" w:sz="0"/>
                    <w:bottom w:val="none" w:color="FFFFFF" w:sz="0"/>
                    <w:right w:val="none" w:color="FFFFFF" w:sz="0"/>
                  </w:tcBorders>
                  <w:tcMar>
                    <w:top w:type="dxa" w:w="44"/>
                    <w:left w:type="dxa" w:w="60"/>
                    <w:bottom w:type="dxa" w:w="44"/>
                    <w:right w:type="dxa" w:w="60"/>
                  </w:tcMar>
                  <w:vAlign w:val="center"/>
                </w:tcPr>
                <w:p>
                  <w:pPr>
                    <w:spacing w:after="0" w:before="0" w:line="240" w:lineRule="auto"/>
                    <w:jc w:val="center"/>
                  </w:pPr>
                  <w:r>
                    <w:rPr>
                      <w:rFonts w:ascii="Calibri" w:cs="Calibri" w:eastAsia="Calibri" w:hAnsi="Calibri"/>
                      <w:b w:val="false"/>
                      <w:bCs w:val="false"/>
                      <w:i w:val="false"/>
                      <w:iCs w:val="false"/>
                      <w:color w:val="2B3640"/>
                      <w:sz w:val="16"/>
                      <w:szCs w:val="16"/>
                    </w:rPr>
                    <w:t xml:space="preserve">31.28%</w:t>
                  </w:r>
                </w:p>
              </w:tc>
            </w:tr>
            <w:tr>
              <w:tc>
                <w:tcPr>
                  <w:tcW w:type="dxa" w:w="1486"/>
                  <w:tcBorders>
                    <w:top w:val="none" w:color="FFFFFF" w:sz="0"/>
                    <w:left w:val="none" w:color="FFFFFF" w:sz="0"/>
                    <w:bottom w:val="none" w:color="FFFFFF" w:sz="0"/>
                    <w:right w:val="none" w:color="FFFFFF" w:sz="0"/>
                  </w:tcBorders>
                  <w:shd w:fill="F6F8FA" w:color="auto" w:val="clear"/>
                  <w:tcMar>
                    <w:top w:type="dxa" w:w="44"/>
                    <w:left w:type="dxa" w:w="60"/>
                    <w:bottom w:type="dxa" w:w="44"/>
                    <w:right w:type="dxa" w:w="60"/>
                  </w:tcMar>
                  <w:vAlign w:val="center"/>
                </w:tcPr>
                <w:p>
                  <w:pPr>
                    <w:spacing w:after="0" w:before="0" w:line="240" w:lineRule="auto"/>
                    <w:jc w:val="left"/>
                  </w:pPr>
                  <w:r>
                    <w:rPr>
                      <w:rFonts w:ascii="Calibri" w:cs="Calibri" w:eastAsia="Calibri" w:hAnsi="Calibri"/>
                      <w:b/>
                      <w:bCs/>
                      <w:i w:val="false"/>
                      <w:iCs w:val="false"/>
                      <w:color w:val="12355B"/>
                      <w:sz w:val="16"/>
                      <w:szCs w:val="16"/>
                    </w:rPr>
                    <w:t xml:space="preserve">Benchmark¹</w:t>
                  </w:r>
                </w:p>
              </w:tc>
              <w:tc>
                <w:tcPr>
                  <w:tcW w:type="dxa" w:w="1250"/>
                  <w:tcBorders>
                    <w:top w:val="none" w:color="FFFFFF" w:sz="0"/>
                    <w:left w:val="none" w:color="FFFFFF" w:sz="0"/>
                    <w:bottom w:val="none" w:color="FFFFFF" w:sz="0"/>
                    <w:right w:val="none" w:color="FFFFFF" w:sz="0"/>
                  </w:tcBorders>
                  <w:shd w:fill="F6F8FA" w:color="auto" w:val="clear"/>
                  <w:tcMar>
                    <w:top w:type="dxa" w:w="44"/>
                    <w:left w:type="dxa" w:w="60"/>
                    <w:bottom w:type="dxa" w:w="44"/>
                    <w:right w:type="dxa" w:w="60"/>
                  </w:tcMar>
                  <w:vAlign w:val="center"/>
                </w:tcPr>
                <w:p>
                  <w:pPr>
                    <w:spacing w:after="0" w:before="0" w:line="240" w:lineRule="auto"/>
                    <w:jc w:val="center"/>
                  </w:pPr>
                  <w:r>
                    <w:rPr>
                      <w:rFonts w:ascii="Calibri" w:cs="Calibri" w:eastAsia="Calibri" w:hAnsi="Calibri"/>
                      <w:b w:val="false"/>
                      <w:bCs w:val="false"/>
                      <w:i w:val="false"/>
                      <w:iCs w:val="false"/>
                      <w:color w:val="2B3640"/>
                      <w:sz w:val="16"/>
                      <w:szCs w:val="16"/>
                    </w:rPr>
                    <w:t xml:space="preserve">3.00%</w:t>
                  </w:r>
                </w:p>
              </w:tc>
              <w:tc>
                <w:tcPr>
                  <w:tcW w:type="dxa" w:w="1250"/>
                  <w:tcBorders>
                    <w:top w:val="none" w:color="FFFFFF" w:sz="0"/>
                    <w:left w:val="none" w:color="FFFFFF" w:sz="0"/>
                    <w:bottom w:val="none" w:color="FFFFFF" w:sz="0"/>
                    <w:right w:val="none" w:color="FFFFFF" w:sz="0"/>
                  </w:tcBorders>
                  <w:shd w:fill="F6F8FA" w:color="auto" w:val="clear"/>
                  <w:tcMar>
                    <w:top w:type="dxa" w:w="44"/>
                    <w:left w:type="dxa" w:w="60"/>
                    <w:bottom w:type="dxa" w:w="44"/>
                    <w:right w:type="dxa" w:w="60"/>
                  </w:tcMar>
                  <w:vAlign w:val="center"/>
                </w:tcPr>
                <w:p>
                  <w:pPr>
                    <w:spacing w:after="0" w:before="0" w:line="240" w:lineRule="auto"/>
                    <w:jc w:val="center"/>
                  </w:pPr>
                  <w:r>
                    <w:rPr>
                      <w:rFonts w:ascii="Calibri" w:cs="Calibri" w:eastAsia="Calibri" w:hAnsi="Calibri"/>
                      <w:b w:val="false"/>
                      <w:bCs w:val="false"/>
                      <w:i w:val="false"/>
                      <w:iCs w:val="false"/>
                      <w:color w:val="2B3640"/>
                      <w:sz w:val="16"/>
                      <w:szCs w:val="16"/>
                    </w:rPr>
                    <w:t xml:space="preserve">5.92%</w:t>
                  </w:r>
                </w:p>
              </w:tc>
              <w:tc>
                <w:tcPr>
                  <w:tcW w:type="dxa" w:w="1250"/>
                  <w:tcBorders>
                    <w:top w:val="none" w:color="FFFFFF" w:sz="0"/>
                    <w:left w:val="none" w:color="FFFFFF" w:sz="0"/>
                    <w:bottom w:val="none" w:color="FFFFFF" w:sz="0"/>
                    <w:right w:val="none" w:color="FFFFFF" w:sz="0"/>
                  </w:tcBorders>
                  <w:shd w:fill="F6F8FA" w:color="auto" w:val="clear"/>
                  <w:tcMar>
                    <w:top w:type="dxa" w:w="44"/>
                    <w:left w:type="dxa" w:w="60"/>
                    <w:bottom w:type="dxa" w:w="44"/>
                    <w:right w:type="dxa" w:w="60"/>
                  </w:tcMar>
                  <w:vAlign w:val="center"/>
                </w:tcPr>
                <w:p>
                  <w:pPr>
                    <w:spacing w:after="0" w:before="0" w:line="240" w:lineRule="auto"/>
                    <w:jc w:val="center"/>
                  </w:pPr>
                  <w:r>
                    <w:rPr>
                      <w:rFonts w:ascii="Calibri" w:cs="Calibri" w:eastAsia="Calibri" w:hAnsi="Calibri"/>
                      <w:b w:val="false"/>
                      <w:bCs w:val="false"/>
                      <w:i w:val="false"/>
                      <w:iCs w:val="false"/>
                      <w:color w:val="2B3640"/>
                      <w:sz w:val="16"/>
                      <w:szCs w:val="16"/>
                    </w:rPr>
                    <w:t xml:space="preserve">11.82%</w:t>
                  </w:r>
                </w:p>
              </w:tc>
              <w:tc>
                <w:tcPr>
                  <w:tcW w:type="dxa" w:w="1250"/>
                  <w:tcBorders>
                    <w:top w:val="none" w:color="FFFFFF" w:sz="0"/>
                    <w:left w:val="none" w:color="FFFFFF" w:sz="0"/>
                    <w:bottom w:val="none" w:color="FFFFFF" w:sz="0"/>
                    <w:right w:val="none" w:color="FFFFFF" w:sz="0"/>
                  </w:tcBorders>
                  <w:shd w:fill="F6F8FA" w:color="auto" w:val="clear"/>
                  <w:tcMar>
                    <w:top w:type="dxa" w:w="44"/>
                    <w:left w:type="dxa" w:w="60"/>
                    <w:bottom w:type="dxa" w:w="44"/>
                    <w:right w:type="dxa" w:w="60"/>
                  </w:tcMar>
                  <w:vAlign w:val="center"/>
                </w:tcPr>
                <w:p>
                  <w:pPr>
                    <w:spacing w:after="0" w:before="0" w:line="240" w:lineRule="auto"/>
                    <w:jc w:val="center"/>
                  </w:pPr>
                  <w:r>
                    <w:rPr>
                      <w:rFonts w:ascii="Calibri" w:cs="Calibri" w:eastAsia="Calibri" w:hAnsi="Calibri"/>
                      <w:b w:val="false"/>
                      <w:bCs w:val="false"/>
                      <w:i w:val="false"/>
                      <w:iCs w:val="false"/>
                      <w:color w:val="2B3640"/>
                      <w:sz w:val="16"/>
                      <w:szCs w:val="16"/>
                    </w:rPr>
                    <w:t xml:space="preserve">17.59%</w:t>
                  </w:r>
                </w:p>
              </w:tc>
            </w:tr>
          </w:tbl>
          <w:p>
            <w:pPr>
              <w:spacing w:after="140" w:before="60" w:line="190" w:lineRule="auto"/>
            </w:pPr>
            <w:r>
              <w:rPr>
                <w:rFonts w:ascii="Calibri" w:cs="Calibri" w:eastAsia="Calibri" w:hAnsi="Calibri"/>
                <w:b w:val="false"/>
                <w:bCs w:val="false"/>
                <w:i w:val="false"/>
                <w:iCs w:val="false"/>
                <w:color w:val="6C7883"/>
                <w:sz w:val="13"/>
                <w:szCs w:val="13"/>
              </w:rPr>
              <w:t xml:space="preserve">¹ Benchmark: Inflation + 8% p.a. </w:t>
            </w:r>
            <w:r>
              <w:rPr>
                <w:rFonts w:ascii="Calibri" w:cs="Calibri" w:eastAsia="Calibri" w:hAnsi="Calibri"/>
                <w:b w:val="false"/>
                <w:bCs w:val="false"/>
                <w:i w:val="false"/>
                <w:iCs w:val="false"/>
                <w:color w:val="6C7883"/>
                <w:sz w:val="13"/>
                <w:szCs w:val="13"/>
              </w:rPr>
              <w:t xml:space="preserve">Returns are cumulative, net of fees, in ZAR since inception (7 March 2025). Periods of one year or less are not annualised.</w:t>
            </w:r>
          </w:p>
          <w:p>
            <w:pPr>
              <w:shd w:fill="0089B0" w:color="auto" w:val="clear"/>
              <w:spacing w:after="0" w:before="0" w:line="250" w:lineRule="auto"/>
            </w:pPr>
            <w:r>
              <w:rPr>
                <w:rFonts w:ascii="Calibri" w:cs="Calibri" w:eastAsia="Calibri" w:hAnsi="Calibri"/>
                <w:b/>
                <w:bCs/>
                <w:color w:val="FFFFFF"/>
                <w:spacing w:val="6"/>
                <w:sz w:val="18"/>
                <w:szCs w:val="18"/>
              </w:rPr>
              <w:t xml:space="preserve"> TOP 5 HOLDINGS</w:t>
            </w:r>
          </w:p>
          <w:p>
            <w:pPr>
              <w:spacing w:after="0" w:before="0" w:line="70" w:lineRule="exact"/>
            </w:pPr>
          </w:p>
          <w:tbl>
            <w:tblPr>
              <w:tblW w:type="dxa" w:w="648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86"/>
              <w:gridCol w:w="1500"/>
            </w:tblGrid>
            <w:tr>
              <w:tc>
                <w:tcPr>
                  <w:tcW w:type="dxa" w:w="4986"/>
                  <w:tcBorders>
                    <w:top w:val="none" w:color="FFFFFF" w:sz="0"/>
                    <w:left w:val="none" w:color="FFFFFF" w:sz="0"/>
                    <w:bottom w:val="none" w:color="FFFFFF" w:sz="0"/>
                    <w:right w:val="none" w:color="FFFFFF" w:sz="0"/>
                  </w:tcBorders>
                  <w:shd w:fill="12355B" w:color="auto" w:val="clear"/>
                  <w:tcMar>
                    <w:top w:type="dxa" w:w="44"/>
                    <w:left w:type="dxa" w:w="70"/>
                    <w:bottom w:type="dxa" w:w="44"/>
                    <w:right w:type="dxa" w:w="40"/>
                  </w:tcMar>
                </w:tcPr>
                <w:p>
                  <w:pPr>
                    <w:spacing w:after="0" w:before="0" w:line="240" w:lineRule="auto"/>
                  </w:pPr>
                  <w:r>
                    <w:rPr>
                      <w:rFonts w:ascii="Calibri" w:cs="Calibri" w:eastAsia="Calibri" w:hAnsi="Calibri"/>
                      <w:b/>
                      <w:bCs/>
                      <w:i w:val="false"/>
                      <w:iCs w:val="false"/>
                      <w:color w:val="FFFFFF"/>
                      <w:sz w:val="15"/>
                      <w:szCs w:val="15"/>
                    </w:rPr>
                    <w:t xml:space="preserve">Holding</w:t>
                  </w:r>
                </w:p>
              </w:tc>
              <w:tc>
                <w:tcPr>
                  <w:tcW w:type="dxa" w:w="1500"/>
                  <w:tcBorders>
                    <w:top w:val="none" w:color="FFFFFF" w:sz="0"/>
                    <w:left w:val="none" w:color="FFFFFF" w:sz="0"/>
                    <w:bottom w:val="none" w:color="FFFFFF" w:sz="0"/>
                    <w:right w:val="none" w:color="FFFFFF" w:sz="0"/>
                  </w:tcBorders>
                  <w:shd w:fill="12355B" w:color="auto" w:val="clear"/>
                  <w:tcMar>
                    <w:top w:type="dxa" w:w="44"/>
                    <w:left w:type="dxa" w:w="40"/>
                    <w:bottom w:type="dxa" w:w="44"/>
                    <w:right w:type="dxa" w:w="70"/>
                  </w:tcMar>
                </w:tcPr>
                <w:p>
                  <w:pPr>
                    <w:spacing w:after="0" w:before="0" w:line="240" w:lineRule="auto"/>
                    <w:jc w:val="right"/>
                  </w:pPr>
                  <w:r>
                    <w:rPr>
                      <w:rFonts w:ascii="Calibri" w:cs="Calibri" w:eastAsia="Calibri" w:hAnsi="Calibri"/>
                      <w:b/>
                      <w:bCs/>
                      <w:i w:val="false"/>
                      <w:iCs w:val="false"/>
                      <w:color w:val="FFFFFF"/>
                      <w:sz w:val="15"/>
                      <w:szCs w:val="15"/>
                    </w:rPr>
                    <w:t xml:space="preserve">% Portfolio</w:t>
                  </w:r>
                </w:p>
              </w:tc>
            </w:tr>
            <w:tr>
              <w:tc>
                <w:tcPr>
                  <w:tcW w:type="dxa" w:w="4986"/>
                  <w:tcBorders>
                    <w:top w:val="none" w:color="FFFFFF" w:sz="0"/>
                    <w:left w:val="none" w:color="FFFFFF" w:sz="0"/>
                    <w:bottom w:val="none" w:color="FFFFFF" w:sz="0"/>
                    <w:right w:val="none" w:color="FFFFFF" w:sz="0"/>
                  </w:tcBorders>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2B3640"/>
                      <w:sz w:val="16"/>
                      <w:szCs w:val="16"/>
                    </w:rPr>
                    <w:t xml:space="preserve">Berkshire Hathaway</w:t>
                  </w:r>
                </w:p>
              </w:tc>
              <w:tc>
                <w:tcPr>
                  <w:tcW w:type="dxa" w:w="1500"/>
                  <w:tcBorders>
                    <w:top w:val="none" w:color="FFFFFF" w:sz="0"/>
                    <w:left w:val="none" w:color="FFFFFF" w:sz="0"/>
                    <w:bottom w:val="none" w:color="FFFFFF" w:sz="0"/>
                    <w:right w:val="none" w:color="FFFFFF" w:sz="0"/>
                  </w:tcBorders>
                  <w:tcMar>
                    <w:top w:type="dxa" w:w="34"/>
                    <w:left w:type="dxa" w:w="40"/>
                    <w:bottom w:type="dxa" w:w="34"/>
                    <w:right w:type="dxa" w:w="70"/>
                  </w:tcMar>
                </w:tcPr>
                <w:p>
                  <w:pPr>
                    <w:spacing w:after="0" w:before="0" w:line="240" w:lineRule="auto"/>
                    <w:jc w:val="right"/>
                  </w:pPr>
                  <w:r>
                    <w:rPr>
                      <w:rFonts w:ascii="Calibri" w:cs="Calibri" w:eastAsia="Calibri" w:hAnsi="Calibri"/>
                      <w:b/>
                      <w:bCs/>
                      <w:i w:val="false"/>
                      <w:iCs w:val="false"/>
                      <w:color w:val="12355B"/>
                      <w:sz w:val="16"/>
                      <w:szCs w:val="16"/>
                    </w:rPr>
                    <w:t xml:space="preserve">15.0%</w:t>
                  </w:r>
                </w:p>
              </w:tc>
            </w:tr>
            <w:tr>
              <w:tc>
                <w:tcPr>
                  <w:tcW w:type="dxa" w:w="4986"/>
                  <w:tcBorders>
                    <w:top w:val="none" w:color="FFFFFF" w:sz="0"/>
                    <w:left w:val="none" w:color="FFFFFF" w:sz="0"/>
                    <w:bottom w:val="none" w:color="FFFFFF" w:sz="0"/>
                    <w:right w:val="none" w:color="FFFFFF" w:sz="0"/>
                  </w:tcBorders>
                  <w:shd w:fill="F6F8FA" w:color="auto" w:val="clear"/>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2B3640"/>
                      <w:sz w:val="16"/>
                      <w:szCs w:val="16"/>
                    </w:rPr>
                    <w:t xml:space="preserve">Reinet Investments</w:t>
                  </w:r>
                </w:p>
              </w:tc>
              <w:tc>
                <w:tcPr>
                  <w:tcW w:type="dxa" w:w="1500"/>
                  <w:tcBorders>
                    <w:top w:val="none" w:color="FFFFFF" w:sz="0"/>
                    <w:left w:val="none" w:color="FFFFFF" w:sz="0"/>
                    <w:bottom w:val="none" w:color="FFFFFF" w:sz="0"/>
                    <w:right w:val="none" w:color="FFFFFF" w:sz="0"/>
                  </w:tcBorders>
                  <w:shd w:fill="F6F8FA" w:color="auto" w:val="clear"/>
                  <w:tcMar>
                    <w:top w:type="dxa" w:w="34"/>
                    <w:left w:type="dxa" w:w="40"/>
                    <w:bottom w:type="dxa" w:w="34"/>
                    <w:right w:type="dxa" w:w="70"/>
                  </w:tcMar>
                </w:tcPr>
                <w:p>
                  <w:pPr>
                    <w:spacing w:after="0" w:before="0" w:line="240" w:lineRule="auto"/>
                    <w:jc w:val="right"/>
                  </w:pPr>
                  <w:r>
                    <w:rPr>
                      <w:rFonts w:ascii="Calibri" w:cs="Calibri" w:eastAsia="Calibri" w:hAnsi="Calibri"/>
                      <w:b/>
                      <w:bCs/>
                      <w:i w:val="false"/>
                      <w:iCs w:val="false"/>
                      <w:color w:val="12355B"/>
                      <w:sz w:val="16"/>
                      <w:szCs w:val="16"/>
                    </w:rPr>
                    <w:t xml:space="preserve">9.6%</w:t>
                  </w:r>
                </w:p>
              </w:tc>
            </w:tr>
            <w:tr>
              <w:tc>
                <w:tcPr>
                  <w:tcW w:type="dxa" w:w="4986"/>
                  <w:tcBorders>
                    <w:top w:val="none" w:color="FFFFFF" w:sz="0"/>
                    <w:left w:val="none" w:color="FFFFFF" w:sz="0"/>
                    <w:bottom w:val="none" w:color="FFFFFF" w:sz="0"/>
                    <w:right w:val="none" w:color="FFFFFF" w:sz="0"/>
                  </w:tcBorders>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2B3640"/>
                      <w:sz w:val="16"/>
                      <w:szCs w:val="16"/>
                    </w:rPr>
                    <w:t xml:space="preserve">Naspers</w:t>
                  </w:r>
                </w:p>
              </w:tc>
              <w:tc>
                <w:tcPr>
                  <w:tcW w:type="dxa" w:w="1500"/>
                  <w:tcBorders>
                    <w:top w:val="none" w:color="FFFFFF" w:sz="0"/>
                    <w:left w:val="none" w:color="FFFFFF" w:sz="0"/>
                    <w:bottom w:val="none" w:color="FFFFFF" w:sz="0"/>
                    <w:right w:val="none" w:color="FFFFFF" w:sz="0"/>
                  </w:tcBorders>
                  <w:tcMar>
                    <w:top w:type="dxa" w:w="34"/>
                    <w:left w:type="dxa" w:w="40"/>
                    <w:bottom w:type="dxa" w:w="34"/>
                    <w:right w:type="dxa" w:w="70"/>
                  </w:tcMar>
                </w:tcPr>
                <w:p>
                  <w:pPr>
                    <w:spacing w:after="0" w:before="0" w:line="240" w:lineRule="auto"/>
                    <w:jc w:val="right"/>
                  </w:pPr>
                  <w:r>
                    <w:rPr>
                      <w:rFonts w:ascii="Calibri" w:cs="Calibri" w:eastAsia="Calibri" w:hAnsi="Calibri"/>
                      <w:b/>
                      <w:bCs/>
                      <w:i w:val="false"/>
                      <w:iCs w:val="false"/>
                      <w:color w:val="12355B"/>
                      <w:sz w:val="16"/>
                      <w:szCs w:val="16"/>
                    </w:rPr>
                    <w:t xml:space="preserve">9.6%</w:t>
                  </w:r>
                </w:p>
              </w:tc>
            </w:tr>
            <w:tr>
              <w:tc>
                <w:tcPr>
                  <w:tcW w:type="dxa" w:w="4986"/>
                  <w:tcBorders>
                    <w:top w:val="none" w:color="FFFFFF" w:sz="0"/>
                    <w:left w:val="none" w:color="FFFFFF" w:sz="0"/>
                    <w:bottom w:val="none" w:color="FFFFFF" w:sz="0"/>
                    <w:right w:val="none" w:color="FFFFFF" w:sz="0"/>
                  </w:tcBorders>
                  <w:shd w:fill="F6F8FA" w:color="auto" w:val="clear"/>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2B3640"/>
                      <w:sz w:val="16"/>
                      <w:szCs w:val="16"/>
                    </w:rPr>
                    <w:t xml:space="preserve">Stadio</w:t>
                  </w:r>
                </w:p>
              </w:tc>
              <w:tc>
                <w:tcPr>
                  <w:tcW w:type="dxa" w:w="1500"/>
                  <w:tcBorders>
                    <w:top w:val="none" w:color="FFFFFF" w:sz="0"/>
                    <w:left w:val="none" w:color="FFFFFF" w:sz="0"/>
                    <w:bottom w:val="none" w:color="FFFFFF" w:sz="0"/>
                    <w:right w:val="none" w:color="FFFFFF" w:sz="0"/>
                  </w:tcBorders>
                  <w:shd w:fill="F6F8FA" w:color="auto" w:val="clear"/>
                  <w:tcMar>
                    <w:top w:type="dxa" w:w="34"/>
                    <w:left w:type="dxa" w:w="40"/>
                    <w:bottom w:type="dxa" w:w="34"/>
                    <w:right w:type="dxa" w:w="70"/>
                  </w:tcMar>
                </w:tcPr>
                <w:p>
                  <w:pPr>
                    <w:spacing w:after="0" w:before="0" w:line="240" w:lineRule="auto"/>
                    <w:jc w:val="right"/>
                  </w:pPr>
                  <w:r>
                    <w:rPr>
                      <w:rFonts w:ascii="Calibri" w:cs="Calibri" w:eastAsia="Calibri" w:hAnsi="Calibri"/>
                      <w:b/>
                      <w:bCs/>
                      <w:i w:val="false"/>
                      <w:iCs w:val="false"/>
                      <w:color w:val="12355B"/>
                      <w:sz w:val="16"/>
                      <w:szCs w:val="16"/>
                    </w:rPr>
                    <w:t xml:space="preserve">9.1%</w:t>
                  </w:r>
                </w:p>
              </w:tc>
            </w:tr>
            <w:tr>
              <w:tc>
                <w:tcPr>
                  <w:tcW w:type="dxa" w:w="4986"/>
                  <w:tcBorders>
                    <w:top w:val="none" w:color="FFFFFF" w:sz="0"/>
                    <w:left w:val="none" w:color="FFFFFF" w:sz="0"/>
                    <w:bottom w:val="none" w:color="FFFFFF" w:sz="0"/>
                    <w:right w:val="none" w:color="FFFFFF" w:sz="0"/>
                  </w:tcBorders>
                  <w:tcMar>
                    <w:top w:type="dxa" w:w="34"/>
                    <w:left w:type="dxa" w:w="70"/>
                    <w:bottom w:type="dxa" w:w="34"/>
                    <w:right w:type="dxa" w:w="40"/>
                  </w:tcMar>
                </w:tcPr>
                <w:p>
                  <w:pPr>
                    <w:spacing w:after="0" w:before="0" w:line="240" w:lineRule="auto"/>
                  </w:pPr>
                  <w:r>
                    <w:rPr>
                      <w:rFonts w:ascii="Calibri" w:cs="Calibri" w:eastAsia="Calibri" w:hAnsi="Calibri"/>
                      <w:b w:val="false"/>
                      <w:bCs w:val="false"/>
                      <w:i w:val="false"/>
                      <w:iCs w:val="false"/>
                      <w:color w:val="2B3640"/>
                      <w:sz w:val="16"/>
                      <w:szCs w:val="16"/>
                    </w:rPr>
                    <w:t xml:space="preserve">Premier Group</w:t>
                  </w:r>
                </w:p>
              </w:tc>
              <w:tc>
                <w:tcPr>
                  <w:tcW w:type="dxa" w:w="1500"/>
                  <w:tcBorders>
                    <w:top w:val="none" w:color="FFFFFF" w:sz="0"/>
                    <w:left w:val="none" w:color="FFFFFF" w:sz="0"/>
                    <w:bottom w:val="none" w:color="FFFFFF" w:sz="0"/>
                    <w:right w:val="none" w:color="FFFFFF" w:sz="0"/>
                  </w:tcBorders>
                  <w:tcMar>
                    <w:top w:type="dxa" w:w="34"/>
                    <w:left w:type="dxa" w:w="40"/>
                    <w:bottom w:type="dxa" w:w="34"/>
                    <w:right w:type="dxa" w:w="70"/>
                  </w:tcMar>
                </w:tcPr>
                <w:p>
                  <w:pPr>
                    <w:spacing w:after="0" w:before="0" w:line="240" w:lineRule="auto"/>
                    <w:jc w:val="right"/>
                  </w:pPr>
                  <w:r>
                    <w:rPr>
                      <w:rFonts w:ascii="Calibri" w:cs="Calibri" w:eastAsia="Calibri" w:hAnsi="Calibri"/>
                      <w:b/>
                      <w:bCs/>
                      <w:i w:val="false"/>
                      <w:iCs w:val="false"/>
                      <w:color w:val="12355B"/>
                      <w:sz w:val="16"/>
                      <w:szCs w:val="16"/>
                    </w:rPr>
                    <w:t xml:space="preserve">7.4%</w:t>
                  </w:r>
                </w:p>
              </w:tc>
            </w:tr>
          </w:tbl>
          <w:p>
            <w:pPr>
              <w:spacing w:after="0" w:before="60" w:line="240" w:lineRule="auto"/>
            </w:pPr>
            <w:r>
              <w:rPr>
                <w:rFonts w:ascii="Calibri" w:cs="Calibri" w:eastAsia="Calibri" w:hAnsi="Calibri"/>
                <w:b w:val="false"/>
                <w:bCs w:val="false"/>
                <w:i/>
                <w:iCs/>
                <w:color w:val="6C7883"/>
                <w:sz w:val="13"/>
                <w:szCs w:val="13"/>
              </w:rPr>
              <w:t xml:space="preserve">Top 5 holdings represent 50.6% of the portfolio.</w:t>
            </w:r>
          </w:p>
          <w:p>
            <w:pPr>
              <w:spacing w:after="0" w:before="0" w:line="150" w:lineRule="exact"/>
            </w:pPr>
          </w:p>
          <w:p>
            <w:pPr>
              <w:shd w:fill="0089B0" w:color="auto" w:val="clear"/>
              <w:spacing w:after="0" w:before="0" w:line="250" w:lineRule="auto"/>
            </w:pPr>
            <w:r>
              <w:rPr>
                <w:rFonts w:ascii="Calibri" w:cs="Calibri" w:eastAsia="Calibri" w:hAnsi="Calibri"/>
                <w:b/>
                <w:bCs/>
                <w:color w:val="FFFFFF"/>
                <w:spacing w:val="6"/>
                <w:sz w:val="18"/>
                <w:szCs w:val="18"/>
              </w:rPr>
              <w:t xml:space="preserve"> PERFORMANCE HIGHLIGHTS</w:t>
            </w:r>
          </w:p>
          <w:p>
            <w:pPr>
              <w:spacing w:after="0" w:before="0" w:line="70" w:lineRule="exact"/>
            </w:pPr>
          </w:p>
          <w:tbl>
            <w:tblPr>
              <w:tblW w:type="dxa" w:w="6486"/>
              <w:tblBorders>
                <w:top w:val="none" w:color="FFFFFF" w:sz="0"/>
                <w:left w:val="none" w:color="FFFFFF" w:sz="0"/>
                <w:bottom w:val="none" w:color="FFFFFF" w:sz="0"/>
                <w:right w:val="none" w:color="FFFFFF" w:sz="0"/>
                <w:insideH w:val="none" w:color="FFFFFF" w:sz="0"/>
                <w:insideV w:val="single" w:color="FFFFFF" w:sz="12"/>
              </w:tblBorders>
              <w:tblLayout w:type="fixed"/>
            </w:tblPr>
            <w:tblGrid>
              <w:gridCol w:w="2162"/>
              <w:gridCol w:w="2162"/>
              <w:gridCol w:w="2162"/>
            </w:tblGrid>
            <w:tr>
              <w:tc>
                <w:tcPr>
                  <w:tcW w:type="dxa" w:w="2162"/>
                  <w:tcBorders>
                    <w:top w:val="none" w:color="FFFFFF" w:sz="0"/>
                    <w:left w:val="none" w:color="FFFFFF" w:sz="0"/>
                    <w:bottom w:val="none" w:color="FFFFFF" w:sz="0"/>
                    <w:right w:val="none" w:color="FFFFFF" w:sz="0"/>
                  </w:tcBorders>
                  <w:shd w:fill="F6F8FA" w:color="auto" w:val="clear"/>
                  <w:tcMar>
                    <w:top w:type="dxa" w:w="90"/>
                    <w:left w:type="dxa" w:w="40"/>
                    <w:bottom w:type="dxa" w:w="90"/>
                    <w:right w:type="dxa" w:w="40"/>
                  </w:tcMar>
                  <w:vAlign w:val="center"/>
                </w:tcPr>
                <w:p>
                  <w:pPr>
                    <w:spacing w:after="20" w:before="0" w:line="240" w:lineRule="auto"/>
                    <w:jc w:val="center"/>
                  </w:pPr>
                  <w:r>
                    <w:rPr>
                      <w:rFonts w:ascii="Calibri" w:cs="Calibri" w:eastAsia="Calibri" w:hAnsi="Calibri"/>
                      <w:b/>
                      <w:bCs/>
                      <w:i w:val="false"/>
                      <w:iCs w:val="false"/>
                      <w:color w:val="12355B"/>
                      <w:sz w:val="26"/>
                      <w:szCs w:val="26"/>
                    </w:rPr>
                    <w:t xml:space="preserve">+31.28%</w:t>
                  </w:r>
                </w:p>
                <w:p>
                  <w:pPr>
                    <w:spacing w:after="0" w:before="0" w:line="190" w:lineRule="auto"/>
                    <w:jc w:val="center"/>
                  </w:pPr>
                  <w:r>
                    <w:rPr>
                      <w:rFonts w:ascii="Calibri" w:cs="Calibri" w:eastAsia="Calibri" w:hAnsi="Calibri"/>
                      <w:b w:val="false"/>
                      <w:bCs w:val="false"/>
                      <w:i w:val="false"/>
                      <w:iCs w:val="false"/>
                      <w:color w:val="6C7883"/>
                      <w:sz w:val="13"/>
                      <w:szCs w:val="13"/>
                    </w:rPr>
                    <w:t xml:space="preserve">Fund since inception</w:t>
                  </w:r>
                </w:p>
              </w:tc>
              <w:tc>
                <w:tcPr>
                  <w:tcW w:type="dxa" w:w="2162"/>
                  <w:tcBorders>
                    <w:top w:val="none" w:color="FFFFFF" w:sz="0"/>
                    <w:left w:val="none" w:color="FFFFFF" w:sz="0"/>
                    <w:bottom w:val="none" w:color="FFFFFF" w:sz="0"/>
                    <w:right w:val="none" w:color="FFFFFF" w:sz="0"/>
                  </w:tcBorders>
                  <w:shd w:fill="F6F8FA" w:color="auto" w:val="clear"/>
                  <w:tcMar>
                    <w:top w:type="dxa" w:w="90"/>
                    <w:left w:type="dxa" w:w="40"/>
                    <w:bottom w:type="dxa" w:w="90"/>
                    <w:right w:type="dxa" w:w="40"/>
                  </w:tcMar>
                  <w:vAlign w:val="center"/>
                </w:tcPr>
                <w:p>
                  <w:pPr>
                    <w:spacing w:after="20" w:before="0" w:line="240" w:lineRule="auto"/>
                    <w:jc w:val="center"/>
                  </w:pPr>
                  <w:r>
                    <w:rPr>
                      <w:rFonts w:ascii="Calibri" w:cs="Calibri" w:eastAsia="Calibri" w:hAnsi="Calibri"/>
                      <w:b/>
                      <w:bCs/>
                      <w:i w:val="false"/>
                      <w:iCs w:val="false"/>
                      <w:color w:val="12355B"/>
                      <w:sz w:val="26"/>
                      <w:szCs w:val="26"/>
                    </w:rPr>
                    <w:t xml:space="preserve">+17.59%</w:t>
                  </w:r>
                </w:p>
                <w:p>
                  <w:pPr>
                    <w:spacing w:after="0" w:before="0" w:line="190" w:lineRule="auto"/>
                    <w:jc w:val="center"/>
                  </w:pPr>
                  <w:r>
                    <w:rPr>
                      <w:rFonts w:ascii="Calibri" w:cs="Calibri" w:eastAsia="Calibri" w:hAnsi="Calibri"/>
                      <w:b w:val="false"/>
                      <w:bCs w:val="false"/>
                      <w:i w:val="false"/>
                      <w:iCs w:val="false"/>
                      <w:color w:val="6C7883"/>
                      <w:sz w:val="13"/>
                      <w:szCs w:val="13"/>
                    </w:rPr>
                    <w:t xml:space="preserve">Benchmark (CPI + 8%)</w:t>
                  </w:r>
                </w:p>
              </w:tc>
              <w:tc>
                <w:tcPr>
                  <w:tcW w:type="dxa" w:w="2162"/>
                  <w:tcBorders>
                    <w:top w:val="none" w:color="FFFFFF" w:sz="0"/>
                    <w:left w:val="none" w:color="FFFFFF" w:sz="0"/>
                    <w:bottom w:val="none" w:color="FFFFFF" w:sz="0"/>
                    <w:right w:val="none" w:color="FFFFFF" w:sz="0"/>
                  </w:tcBorders>
                  <w:shd w:fill="F6F8FA" w:color="auto" w:val="clear"/>
                  <w:tcMar>
                    <w:top w:type="dxa" w:w="90"/>
                    <w:left w:type="dxa" w:w="40"/>
                    <w:bottom w:type="dxa" w:w="90"/>
                    <w:right w:type="dxa" w:w="40"/>
                  </w:tcMar>
                  <w:vAlign w:val="center"/>
                </w:tcPr>
                <w:p>
                  <w:pPr>
                    <w:spacing w:after="20" w:before="0" w:line="240" w:lineRule="auto"/>
                    <w:jc w:val="center"/>
                  </w:pPr>
                  <w:r>
                    <w:rPr>
                      <w:rFonts w:ascii="Calibri" w:cs="Calibri" w:eastAsia="Calibri" w:hAnsi="Calibri"/>
                      <w:b/>
                      <w:bCs/>
                      <w:i w:val="false"/>
                      <w:iCs w:val="false"/>
                      <w:color w:val="12355B"/>
                      <w:sz w:val="26"/>
                      <w:szCs w:val="26"/>
                    </w:rPr>
                    <w:t xml:space="preserve">R1 312.82</w:t>
                  </w:r>
                </w:p>
                <w:p>
                  <w:pPr>
                    <w:spacing w:after="0" w:before="0" w:line="190" w:lineRule="auto"/>
                    <w:jc w:val="center"/>
                  </w:pPr>
                  <w:r>
                    <w:rPr>
                      <w:rFonts w:ascii="Calibri" w:cs="Calibri" w:eastAsia="Calibri" w:hAnsi="Calibri"/>
                      <w:b w:val="false"/>
                      <w:bCs w:val="false"/>
                      <w:i w:val="false"/>
                      <w:iCs w:val="false"/>
                      <w:color w:val="6C7883"/>
                      <w:sz w:val="13"/>
                      <w:szCs w:val="13"/>
                    </w:rPr>
                    <w:t xml:space="preserve">Note price</w:t>
                  </w:r>
                </w:p>
              </w:tc>
            </w:tr>
          </w:tbl>
          <w:p/>
        </w:tc>
      </w:tr>
    </w:tbl>
    <w:p>
      <w:pPr>
        <w:spacing w:after="0" w:before="0" w:line="200" w:lineRule="exact"/>
      </w:pPr>
    </w:p>
    <w:p>
      <w:pPr>
        <w:shd w:fill="0089B0" w:color="auto" w:val="clear"/>
        <w:spacing w:after="0" w:before="0" w:line="250" w:lineRule="auto"/>
      </w:pPr>
      <w:r>
        <w:rPr>
          <w:rFonts w:ascii="Calibri" w:cs="Calibri" w:eastAsia="Calibri" w:hAnsi="Calibri"/>
          <w:b/>
          <w:bCs/>
          <w:color w:val="FFFFFF"/>
          <w:spacing w:val="6"/>
          <w:sz w:val="18"/>
          <w:szCs w:val="18"/>
        </w:rPr>
        <w:t xml:space="preserve"> CUMULATIVE PERFORMANCE SINCE INCEPTION</w:t>
      </w:r>
    </w:p>
    <w:p>
      <w:pPr>
        <w:spacing w:after="0" w:before="0" w:line="90" w:lineRule="exact"/>
      </w:pPr>
    </w:p>
    <w:p>
      <w:pPr>
        <w:spacing w:line="240" w:lineRule="auto"/>
        <w:jc w:val="center"/>
      </w:pPr>
      <w:r>
        <w:drawing>
          <wp:inline distT="0" distB="0" distL="0" distR="0">
            <wp:extent cx="630555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305550" cy="2114550"/>
                    </a:xfrm>
                    <a:prstGeom prst="rect">
                      <a:avLst/>
                    </a:prstGeom>
                  </pic:spPr>
                </pic:pic>
              </a:graphicData>
            </a:graphic>
          </wp:inline>
        </w:drawing>
      </w:r>
    </w:p>
    <w:p>
      <w:pPr>
        <w:spacing w:after="0" w:before="40" w:line="240" w:lineRule="auto"/>
        <w:jc w:val="center"/>
      </w:pPr>
      <w:r>
        <w:rPr>
          <w:rFonts w:ascii="Calibri" w:cs="Calibri" w:eastAsia="Calibri" w:hAnsi="Calibri"/>
          <w:b w:val="false"/>
          <w:bCs w:val="false"/>
          <w:i/>
          <w:iCs/>
          <w:color w:val="6C7883"/>
          <w:sz w:val="13"/>
          <w:szCs w:val="13"/>
        </w:rPr>
        <w:t xml:space="preserve">MH Capital Growth AMC vs JSE FTSE All Share Index, indexed to 100 at inception (7 March 2025).</w:t>
      </w:r>
    </w:p>
    <w:p>
      <w:pPr>
        <w:spacing w:after="0" w:before="0" w:line="160" w:lineRule="exact"/>
      </w:pPr>
    </w:p>
    <w:p>
      <w:pPr>
        <w:pBdr>
          <w:bottom w:val="single" w:color="D8DEE4" w:sz="6"/>
        </w:pBdr>
        <w:spacing w:after="0" w:before="0" w:line="240" w:lineRule="auto"/>
      </w:pPr>
    </w:p>
    <w:p>
      <w:pPr>
        <w:spacing w:after="0" w:before="0" w:line="70" w:lineRule="exact"/>
      </w:pPr>
    </w:p>
    <w:p>
      <w:pPr>
        <w:spacing w:after="60" w:before="0" w:line="200" w:lineRule="auto"/>
      </w:pPr>
      <w:r>
        <w:rPr>
          <w:rFonts w:ascii="Calibri" w:cs="Calibri" w:eastAsia="Calibri" w:hAnsi="Calibri"/>
          <w:b/>
          <w:bCs/>
          <w:i w:val="false"/>
          <w:iCs w:val="false"/>
          <w:color w:val="12355B"/>
          <w:sz w:val="13"/>
          <w:szCs w:val="13"/>
        </w:rPr>
        <w:t xml:space="preserve">Issuer / Manager: </w:t>
      </w:r>
      <w:r>
        <w:rPr>
          <w:rFonts w:ascii="Calibri" w:cs="Calibri" w:eastAsia="Calibri" w:hAnsi="Calibri"/>
          <w:b w:val="false"/>
          <w:bCs w:val="false"/>
          <w:i w:val="false"/>
          <w:iCs w:val="false"/>
          <w:color w:val="2B3640"/>
          <w:sz w:val="13"/>
          <w:szCs w:val="13"/>
        </w:rPr>
        <w:t xml:space="preserve">MH Capital  ·  FSP No. 51988   </w:t>
      </w:r>
      <w:r>
        <w:rPr>
          <w:rFonts w:ascii="Calibri" w:cs="Calibri" w:eastAsia="Calibri" w:hAnsi="Calibri"/>
          <w:b/>
          <w:bCs/>
          <w:i w:val="false"/>
          <w:iCs w:val="false"/>
          <w:color w:val="12355B"/>
          <w:sz w:val="13"/>
          <w:szCs w:val="13"/>
        </w:rPr>
        <w:t xml:space="preserve">Structure: </w:t>
      </w:r>
      <w:r>
        <w:rPr>
          <w:rFonts w:ascii="Calibri" w:cs="Calibri" w:eastAsia="Calibri" w:hAnsi="Calibri"/>
          <w:b w:val="false"/>
          <w:bCs w:val="false"/>
          <w:i w:val="false"/>
          <w:iCs w:val="false"/>
          <w:color w:val="2B3640"/>
          <w:sz w:val="13"/>
          <w:szCs w:val="13"/>
        </w:rPr>
        <w:t xml:space="preserve">Standard Bank AMC   </w:t>
      </w:r>
      <w:r>
        <w:rPr>
          <w:rFonts w:ascii="Calibri" w:cs="Calibri" w:eastAsia="Calibri" w:hAnsi="Calibri"/>
          <w:b/>
          <w:bCs/>
          <w:i w:val="false"/>
          <w:iCs w:val="false"/>
          <w:color w:val="12355B"/>
          <w:sz w:val="13"/>
          <w:szCs w:val="13"/>
        </w:rPr>
        <w:t xml:space="preserve">ISIN: </w:t>
      </w:r>
      <w:r>
        <w:rPr>
          <w:rFonts w:ascii="Calibri" w:cs="Calibri" w:eastAsia="Calibri" w:hAnsi="Calibri"/>
          <w:b w:val="false"/>
          <w:bCs w:val="false"/>
          <w:i w:val="false"/>
          <w:iCs w:val="false"/>
          <w:color w:val="2B3640"/>
          <w:sz w:val="13"/>
          <w:szCs w:val="13"/>
        </w:rPr>
        <w:t xml:space="preserve">ZAE000343836   </w:t>
      </w:r>
      <w:r>
        <w:rPr>
          <w:rFonts w:ascii="Calibri" w:cs="Calibri" w:eastAsia="Calibri" w:hAnsi="Calibri"/>
          <w:b/>
          <w:bCs/>
          <w:i w:val="false"/>
          <w:iCs w:val="false"/>
          <w:color w:val="12355B"/>
          <w:sz w:val="13"/>
          <w:szCs w:val="13"/>
        </w:rPr>
        <w:t xml:space="preserve">Alpha Code: </w:t>
      </w:r>
      <w:r>
        <w:rPr>
          <w:rFonts w:ascii="Calibri" w:cs="Calibri" w:eastAsia="Calibri" w:hAnsi="Calibri"/>
          <w:b w:val="false"/>
          <w:bCs w:val="false"/>
          <w:i w:val="false"/>
          <w:iCs w:val="false"/>
          <w:color w:val="2B3640"/>
          <w:sz w:val="13"/>
          <w:szCs w:val="13"/>
        </w:rPr>
        <w:t xml:space="preserve">AMC018</w:t>
      </w:r>
    </w:p>
    <w:p>
      <w:pPr>
        <w:spacing w:after="0" w:before="0" w:line="180" w:lineRule="auto"/>
      </w:pPr>
      <w:r>
        <w:rPr>
          <w:rFonts w:ascii="Calibri" w:cs="Calibri" w:eastAsia="Calibri" w:hAnsi="Calibri"/>
          <w:b w:val="false"/>
          <w:bCs w:val="false"/>
          <w:i w:val="false"/>
          <w:iCs w:val="false"/>
          <w:color w:val="6C7883"/>
          <w:sz w:val="12"/>
          <w:szCs w:val="12"/>
        </w:rPr>
        <w:t xml:space="preserve">An Actively Managed Certificate (AMC) is a listed structured product; its value is linked to a reference portfolio actively managed by the investment manager. This Minimum Disclosure Document is for information purposes only and does not constitute financial advice or an offer to invest. Investors should seek independent advice suited to their circumstances. Collective and structured investments are generally medium- to long-term investments. Past performance is not necessarily a guide to future performance, and the value of investments may fall as well as rise and is not guaranteed. Performance is calculated on a NAV-to-NAV basis, net of fees, in ZAR, with income reinvested. Prices are calculated and published daily.</w:t>
      </w:r>
    </w:p>
    <w:sectPr>
      <w:pgSz w:w="11906" w:h="16838" w:orient="portrait"/>
      <w:pgMar w:top="640" w:right="720" w:bottom="56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3640"/>
        <w:sz w:val="17"/>
        <w:szCs w:val="17"/>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e6a9753cd250c23e05b08adf9e8834eaee0de7d.png"/><Relationship Id="rId8" Type="http://schemas.openxmlformats.org/officeDocument/2006/relationships/image" Target="media/508b60478862aed8861f317ead814baf853edf8a.png"/><Relationship Id="rId9" Type="http://schemas.openxmlformats.org/officeDocument/2006/relationships/image" Target="media/ebebb7cde82c7b5267a97e231bc27459df6b83d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2026-09-15T12:01:53.136Z</dcterms:created>
  <dcterms:modified xsi:type="dcterms:W3CDTF">2026-09-15T12:01:53.136Z</dcterms:modified>
</cp:coreProperties>
</file>

<file path=docProps/custom.xml><?xml version="1.0" encoding="utf-8"?>
<Properties xmlns="http://schemas.openxmlformats.org/officeDocument/2006/custom-properties" xmlns:vt="http://schemas.openxmlformats.org/officeDocument/2006/docPropsVTypes"/>
</file>